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1B337" w14:textId="77777777" w:rsidR="00451B1C" w:rsidRDefault="00451B1C" w:rsidP="00451B1C">
      <w:pPr>
        <w:jc w:val="center"/>
        <w:rPr>
          <w:rFonts w:asciiTheme="majorHAnsi" w:hAnsiTheme="majorHAnsi"/>
          <w:b/>
          <w:sz w:val="28"/>
          <w:szCs w:val="28"/>
        </w:rPr>
      </w:pPr>
      <w:bookmarkStart w:id="0" w:name="_GoBack"/>
      <w:bookmarkEnd w:id="0"/>
    </w:p>
    <w:p w14:paraId="04C51E4D" w14:textId="584277BA" w:rsidR="002A2D13" w:rsidRPr="002A3C57" w:rsidRDefault="0098686F" w:rsidP="0098686F">
      <w:pPr>
        <w:jc w:val="center"/>
        <w:rPr>
          <w:rFonts w:asciiTheme="majorHAnsi" w:hAnsiTheme="majorHAnsi"/>
          <w:b/>
          <w:sz w:val="28"/>
          <w:szCs w:val="28"/>
        </w:rPr>
      </w:pPr>
      <w:r>
        <w:rPr>
          <w:rFonts w:asciiTheme="majorHAnsi" w:hAnsiTheme="majorHAnsi"/>
          <w:b/>
          <w:sz w:val="28"/>
          <w:szCs w:val="28"/>
        </w:rPr>
        <w:t>Responses to q</w:t>
      </w:r>
      <w:r w:rsidR="001D7CD7">
        <w:rPr>
          <w:rFonts w:asciiTheme="majorHAnsi" w:hAnsiTheme="majorHAnsi"/>
          <w:b/>
          <w:sz w:val="28"/>
          <w:szCs w:val="28"/>
        </w:rPr>
        <w:t xml:space="preserve">uestions and </w:t>
      </w:r>
      <w:r>
        <w:rPr>
          <w:rFonts w:asciiTheme="majorHAnsi" w:hAnsiTheme="majorHAnsi"/>
          <w:b/>
          <w:sz w:val="28"/>
          <w:szCs w:val="28"/>
        </w:rPr>
        <w:t>c</w:t>
      </w:r>
      <w:r w:rsidR="00D24CF5" w:rsidRPr="002A3C57">
        <w:rPr>
          <w:rFonts w:asciiTheme="majorHAnsi" w:hAnsiTheme="majorHAnsi"/>
          <w:b/>
          <w:sz w:val="28"/>
          <w:szCs w:val="28"/>
        </w:rPr>
        <w:t>oncerns</w:t>
      </w:r>
      <w:r w:rsidR="001D7CD7">
        <w:rPr>
          <w:rFonts w:asciiTheme="majorHAnsi" w:hAnsiTheme="majorHAnsi"/>
          <w:b/>
          <w:sz w:val="28"/>
          <w:szCs w:val="28"/>
        </w:rPr>
        <w:t xml:space="preserve"> about</w:t>
      </w:r>
      <w:r w:rsidR="00D24CF5" w:rsidRPr="002A3C57">
        <w:rPr>
          <w:rFonts w:asciiTheme="majorHAnsi" w:hAnsiTheme="majorHAnsi"/>
          <w:b/>
          <w:sz w:val="28"/>
          <w:szCs w:val="28"/>
        </w:rPr>
        <w:t xml:space="preserve"> Community Choice Energy</w:t>
      </w:r>
    </w:p>
    <w:p w14:paraId="192810DE" w14:textId="7953237F" w:rsidR="009E3918" w:rsidRDefault="00D24CF5" w:rsidP="00451B1C">
      <w:pPr>
        <w:jc w:val="center"/>
        <w:rPr>
          <w:rFonts w:asciiTheme="majorHAnsi" w:hAnsiTheme="majorHAnsi"/>
        </w:rPr>
      </w:pPr>
      <w:r>
        <w:rPr>
          <w:rFonts w:asciiTheme="majorHAnsi" w:hAnsiTheme="majorHAnsi"/>
        </w:rPr>
        <w:t xml:space="preserve">Compiled by the </w:t>
      </w:r>
      <w:r w:rsidR="009E3918" w:rsidRPr="00EA38B1">
        <w:rPr>
          <w:rFonts w:asciiTheme="majorHAnsi" w:hAnsiTheme="majorHAnsi"/>
        </w:rPr>
        <w:t>Center for Climate Protection</w:t>
      </w:r>
      <w:r w:rsidR="0098686F">
        <w:rPr>
          <w:rFonts w:asciiTheme="majorHAnsi" w:hAnsiTheme="majorHAnsi"/>
        </w:rPr>
        <w:t xml:space="preserve"> for the City of San Jose</w:t>
      </w:r>
      <w:r w:rsidR="00746253">
        <w:rPr>
          <w:rFonts w:asciiTheme="majorHAnsi" w:hAnsiTheme="majorHAnsi"/>
        </w:rPr>
        <w:t xml:space="preserve"> (updated </w:t>
      </w:r>
      <w:r w:rsidR="00C0669A">
        <w:rPr>
          <w:rFonts w:asciiTheme="majorHAnsi" w:hAnsiTheme="majorHAnsi"/>
        </w:rPr>
        <w:t>May</w:t>
      </w:r>
      <w:r w:rsidR="00746253">
        <w:rPr>
          <w:rFonts w:asciiTheme="majorHAnsi" w:hAnsiTheme="majorHAnsi"/>
        </w:rPr>
        <w:t xml:space="preserve"> 2017)</w:t>
      </w:r>
    </w:p>
    <w:p w14:paraId="311BE486" w14:textId="77777777" w:rsidR="00081852" w:rsidRDefault="00081852">
      <w:pPr>
        <w:rPr>
          <w:rFonts w:asciiTheme="majorHAnsi" w:hAnsiTheme="majorHAnsi"/>
        </w:rPr>
      </w:pPr>
    </w:p>
    <w:p w14:paraId="161AB449" w14:textId="77777777" w:rsidR="000B1B73" w:rsidRPr="000B1B73" w:rsidRDefault="000B1B73" w:rsidP="00451094">
      <w:pPr>
        <w:rPr>
          <w:rFonts w:asciiTheme="majorHAnsi" w:hAnsiTheme="majorHAnsi"/>
          <w:b/>
        </w:rPr>
      </w:pPr>
      <w:r w:rsidRPr="000B1B73">
        <w:rPr>
          <w:rFonts w:asciiTheme="majorHAnsi" w:hAnsiTheme="majorHAnsi"/>
          <w:b/>
        </w:rPr>
        <w:t>Introduction</w:t>
      </w:r>
    </w:p>
    <w:p w14:paraId="19831290" w14:textId="77777777" w:rsidR="000B1B73" w:rsidRPr="00B74C8D" w:rsidRDefault="000B1B73" w:rsidP="00451094">
      <w:pPr>
        <w:rPr>
          <w:rFonts w:asciiTheme="majorHAnsi" w:hAnsiTheme="majorHAnsi"/>
          <w:sz w:val="20"/>
          <w:szCs w:val="20"/>
        </w:rPr>
      </w:pPr>
    </w:p>
    <w:p w14:paraId="546BE113" w14:textId="0C0F431E" w:rsidR="005236AC" w:rsidRDefault="0098686F" w:rsidP="00451094">
      <w:pPr>
        <w:rPr>
          <w:rFonts w:asciiTheme="majorHAnsi" w:hAnsiTheme="majorHAnsi"/>
        </w:rPr>
      </w:pPr>
      <w:r>
        <w:rPr>
          <w:rFonts w:asciiTheme="majorHAnsi" w:hAnsiTheme="majorHAnsi"/>
        </w:rPr>
        <w:t>W</w:t>
      </w:r>
      <w:r w:rsidR="00DE033C">
        <w:rPr>
          <w:rFonts w:asciiTheme="majorHAnsi" w:hAnsiTheme="majorHAnsi"/>
        </w:rPr>
        <w:t xml:space="preserve">ith the publication of the </w:t>
      </w:r>
      <w:r w:rsidR="00182C41">
        <w:rPr>
          <w:rFonts w:asciiTheme="majorHAnsi" w:hAnsiTheme="majorHAnsi"/>
        </w:rPr>
        <w:t>S</w:t>
      </w:r>
      <w:r>
        <w:rPr>
          <w:rFonts w:asciiTheme="majorHAnsi" w:hAnsiTheme="majorHAnsi"/>
        </w:rPr>
        <w:t xml:space="preserve">an </w:t>
      </w:r>
      <w:r w:rsidR="00182C41">
        <w:rPr>
          <w:rFonts w:asciiTheme="majorHAnsi" w:hAnsiTheme="majorHAnsi"/>
        </w:rPr>
        <w:t>J</w:t>
      </w:r>
      <w:r>
        <w:rPr>
          <w:rFonts w:asciiTheme="majorHAnsi" w:hAnsiTheme="majorHAnsi"/>
        </w:rPr>
        <w:t xml:space="preserve">ose </w:t>
      </w:r>
      <w:r w:rsidR="00182C41">
        <w:rPr>
          <w:rFonts w:asciiTheme="majorHAnsi" w:hAnsiTheme="majorHAnsi"/>
        </w:rPr>
        <w:t>C</w:t>
      </w:r>
      <w:r>
        <w:rPr>
          <w:rFonts w:asciiTheme="majorHAnsi" w:hAnsiTheme="majorHAnsi"/>
        </w:rPr>
        <w:t xml:space="preserve">lean </w:t>
      </w:r>
      <w:r w:rsidR="00182C41">
        <w:rPr>
          <w:rFonts w:asciiTheme="majorHAnsi" w:hAnsiTheme="majorHAnsi"/>
        </w:rPr>
        <w:t>E</w:t>
      </w:r>
      <w:r>
        <w:rPr>
          <w:rFonts w:asciiTheme="majorHAnsi" w:hAnsiTheme="majorHAnsi"/>
        </w:rPr>
        <w:t>nergy</w:t>
      </w:r>
      <w:r w:rsidR="00182C41">
        <w:rPr>
          <w:rFonts w:asciiTheme="majorHAnsi" w:hAnsiTheme="majorHAnsi"/>
        </w:rPr>
        <w:t xml:space="preserve"> </w:t>
      </w:r>
      <w:r>
        <w:rPr>
          <w:rFonts w:asciiTheme="majorHAnsi" w:hAnsiTheme="majorHAnsi"/>
        </w:rPr>
        <w:t>b</w:t>
      </w:r>
      <w:r w:rsidR="00182C41">
        <w:rPr>
          <w:rFonts w:asciiTheme="majorHAnsi" w:hAnsiTheme="majorHAnsi"/>
        </w:rPr>
        <w:t>usiness plan</w:t>
      </w:r>
      <w:r w:rsidR="00351800">
        <w:rPr>
          <w:rFonts w:asciiTheme="majorHAnsi" w:hAnsiTheme="majorHAnsi"/>
        </w:rPr>
        <w:t xml:space="preserve">, </w:t>
      </w:r>
      <w:r w:rsidR="00451094">
        <w:rPr>
          <w:rFonts w:asciiTheme="majorHAnsi" w:hAnsiTheme="majorHAnsi"/>
        </w:rPr>
        <w:t>questions</w:t>
      </w:r>
      <w:r w:rsidR="00CB3B1D">
        <w:rPr>
          <w:rFonts w:asciiTheme="majorHAnsi" w:hAnsiTheme="majorHAnsi"/>
        </w:rPr>
        <w:t xml:space="preserve"> and </w:t>
      </w:r>
      <w:r w:rsidR="00590AFC">
        <w:rPr>
          <w:rFonts w:asciiTheme="majorHAnsi" w:hAnsiTheme="majorHAnsi"/>
        </w:rPr>
        <w:t>concerns</w:t>
      </w:r>
      <w:r w:rsidR="00C71567">
        <w:rPr>
          <w:rFonts w:asciiTheme="majorHAnsi" w:hAnsiTheme="majorHAnsi"/>
        </w:rPr>
        <w:t xml:space="preserve"> </w:t>
      </w:r>
      <w:r w:rsidR="00590AFC">
        <w:rPr>
          <w:rFonts w:asciiTheme="majorHAnsi" w:hAnsiTheme="majorHAnsi"/>
        </w:rPr>
        <w:t xml:space="preserve">have </w:t>
      </w:r>
      <w:r>
        <w:rPr>
          <w:rFonts w:asciiTheme="majorHAnsi" w:hAnsiTheme="majorHAnsi"/>
        </w:rPr>
        <w:t>emerged</w:t>
      </w:r>
      <w:r w:rsidR="00895165">
        <w:rPr>
          <w:rFonts w:asciiTheme="majorHAnsi" w:hAnsiTheme="majorHAnsi"/>
        </w:rPr>
        <w:t xml:space="preserve"> about Community Choice Energy</w:t>
      </w:r>
      <w:r w:rsidR="00590AFC">
        <w:rPr>
          <w:rFonts w:asciiTheme="majorHAnsi" w:hAnsiTheme="majorHAnsi"/>
        </w:rPr>
        <w:t xml:space="preserve">. </w:t>
      </w:r>
      <w:r>
        <w:rPr>
          <w:rFonts w:asciiTheme="majorHAnsi" w:hAnsiTheme="majorHAnsi"/>
        </w:rPr>
        <w:t>We have aimed with the information below to collect these</w:t>
      </w:r>
      <w:r w:rsidR="00590AFC">
        <w:rPr>
          <w:rFonts w:asciiTheme="majorHAnsi" w:hAnsiTheme="majorHAnsi"/>
        </w:rPr>
        <w:t xml:space="preserve"> concerns </w:t>
      </w:r>
      <w:r>
        <w:rPr>
          <w:rFonts w:asciiTheme="majorHAnsi" w:hAnsiTheme="majorHAnsi"/>
        </w:rPr>
        <w:t xml:space="preserve">along with responses to them </w:t>
      </w:r>
      <w:r w:rsidR="00590AFC">
        <w:rPr>
          <w:rFonts w:asciiTheme="majorHAnsi" w:hAnsiTheme="majorHAnsi"/>
        </w:rPr>
        <w:t xml:space="preserve">in one place. Asking and answering questions and concerns like these is </w:t>
      </w:r>
      <w:r>
        <w:rPr>
          <w:rFonts w:asciiTheme="majorHAnsi" w:hAnsiTheme="majorHAnsi"/>
        </w:rPr>
        <w:t xml:space="preserve">part of the due diligence process, </w:t>
      </w:r>
      <w:r w:rsidR="00590AFC">
        <w:rPr>
          <w:rFonts w:asciiTheme="majorHAnsi" w:hAnsiTheme="majorHAnsi"/>
        </w:rPr>
        <w:t xml:space="preserve">a worthwhile </w:t>
      </w:r>
      <w:r>
        <w:rPr>
          <w:rFonts w:asciiTheme="majorHAnsi" w:hAnsiTheme="majorHAnsi"/>
        </w:rPr>
        <w:t>endeavor</w:t>
      </w:r>
      <w:r w:rsidR="00590AFC">
        <w:rPr>
          <w:rFonts w:asciiTheme="majorHAnsi" w:hAnsiTheme="majorHAnsi"/>
        </w:rPr>
        <w:t xml:space="preserve"> to inform the formation of an optimal Community Choice agency. </w:t>
      </w:r>
    </w:p>
    <w:p w14:paraId="49A669AC" w14:textId="77777777" w:rsidR="005236AC" w:rsidRPr="00B74C8D" w:rsidRDefault="005236AC" w:rsidP="00451094">
      <w:pPr>
        <w:rPr>
          <w:rFonts w:asciiTheme="majorHAnsi" w:hAnsiTheme="majorHAnsi"/>
          <w:sz w:val="20"/>
          <w:szCs w:val="20"/>
        </w:rPr>
      </w:pPr>
    </w:p>
    <w:p w14:paraId="1030C82D" w14:textId="77777777" w:rsidR="00710DBD" w:rsidRDefault="00590AFC" w:rsidP="00451094">
      <w:pPr>
        <w:rPr>
          <w:rFonts w:asciiTheme="majorHAnsi" w:hAnsiTheme="majorHAnsi"/>
        </w:rPr>
      </w:pPr>
      <w:r>
        <w:rPr>
          <w:rFonts w:asciiTheme="majorHAnsi" w:hAnsiTheme="majorHAnsi"/>
        </w:rPr>
        <w:t>M</w:t>
      </w:r>
      <w:r w:rsidR="0098686F">
        <w:rPr>
          <w:rFonts w:asciiTheme="majorHAnsi" w:hAnsiTheme="majorHAnsi"/>
        </w:rPr>
        <w:t>ost</w:t>
      </w:r>
      <w:r>
        <w:rPr>
          <w:rFonts w:asciiTheme="majorHAnsi" w:hAnsiTheme="majorHAnsi"/>
        </w:rPr>
        <w:t xml:space="preserve"> of these concerns</w:t>
      </w:r>
      <w:r w:rsidR="00C71567">
        <w:rPr>
          <w:rFonts w:asciiTheme="majorHAnsi" w:hAnsiTheme="majorHAnsi"/>
        </w:rPr>
        <w:t xml:space="preserve"> </w:t>
      </w:r>
      <w:r w:rsidR="0098686F">
        <w:rPr>
          <w:rFonts w:asciiTheme="majorHAnsi" w:hAnsiTheme="majorHAnsi"/>
        </w:rPr>
        <w:t xml:space="preserve">arise </w:t>
      </w:r>
      <w:r>
        <w:rPr>
          <w:rFonts w:asciiTheme="majorHAnsi" w:hAnsiTheme="majorHAnsi"/>
        </w:rPr>
        <w:t xml:space="preserve">and have </w:t>
      </w:r>
      <w:r w:rsidR="00451094">
        <w:rPr>
          <w:rFonts w:asciiTheme="majorHAnsi" w:hAnsiTheme="majorHAnsi"/>
        </w:rPr>
        <w:t xml:space="preserve">been addressed many times during the formation and operation of </w:t>
      </w:r>
      <w:r w:rsidR="0098686F">
        <w:rPr>
          <w:rFonts w:asciiTheme="majorHAnsi" w:hAnsiTheme="majorHAnsi"/>
        </w:rPr>
        <w:t>California’s</w:t>
      </w:r>
      <w:r w:rsidR="00451094">
        <w:rPr>
          <w:rFonts w:asciiTheme="majorHAnsi" w:hAnsiTheme="majorHAnsi"/>
        </w:rPr>
        <w:t xml:space="preserve"> six operational CCAs, so the responses below draw on </w:t>
      </w:r>
      <w:r w:rsidR="0098686F">
        <w:rPr>
          <w:rFonts w:asciiTheme="majorHAnsi" w:hAnsiTheme="majorHAnsi"/>
        </w:rPr>
        <w:t>the</w:t>
      </w:r>
      <w:r w:rsidR="00451094">
        <w:rPr>
          <w:rFonts w:asciiTheme="majorHAnsi" w:hAnsiTheme="majorHAnsi"/>
        </w:rPr>
        <w:t xml:space="preserve"> data and experience</w:t>
      </w:r>
      <w:r w:rsidR="0098686F">
        <w:rPr>
          <w:rFonts w:asciiTheme="majorHAnsi" w:hAnsiTheme="majorHAnsi"/>
        </w:rPr>
        <w:t xml:space="preserve"> from the other CCAs</w:t>
      </w:r>
      <w:r w:rsidR="00451094">
        <w:rPr>
          <w:rFonts w:asciiTheme="majorHAnsi" w:hAnsiTheme="majorHAnsi"/>
        </w:rPr>
        <w:t>.</w:t>
      </w:r>
      <w:r w:rsidR="00351800">
        <w:rPr>
          <w:rFonts w:asciiTheme="majorHAnsi" w:hAnsiTheme="majorHAnsi"/>
        </w:rPr>
        <w:t xml:space="preserve"> </w:t>
      </w:r>
    </w:p>
    <w:p w14:paraId="3A7C0DE9" w14:textId="77777777" w:rsidR="00710DBD" w:rsidRPr="00B74C8D" w:rsidRDefault="00710DBD" w:rsidP="00451094">
      <w:pPr>
        <w:rPr>
          <w:rFonts w:asciiTheme="majorHAnsi" w:hAnsiTheme="majorHAnsi"/>
          <w:sz w:val="20"/>
          <w:szCs w:val="20"/>
        </w:rPr>
      </w:pPr>
    </w:p>
    <w:p w14:paraId="442E79E3" w14:textId="77777777" w:rsidR="00EE0CCB" w:rsidRDefault="00590AFC" w:rsidP="00451094">
      <w:pPr>
        <w:rPr>
          <w:rFonts w:asciiTheme="majorHAnsi" w:hAnsiTheme="majorHAnsi"/>
        </w:rPr>
      </w:pPr>
      <w:r>
        <w:rPr>
          <w:rFonts w:asciiTheme="majorHAnsi" w:hAnsiTheme="majorHAnsi"/>
        </w:rPr>
        <w:t xml:space="preserve">One of the best places to obtain clear and definitive answers is in the </w:t>
      </w:r>
      <w:r w:rsidR="005236AC">
        <w:rPr>
          <w:rFonts w:asciiTheme="majorHAnsi" w:hAnsiTheme="majorHAnsi"/>
        </w:rPr>
        <w:t xml:space="preserve">FAQs of the </w:t>
      </w:r>
      <w:r>
        <w:rPr>
          <w:rFonts w:asciiTheme="majorHAnsi" w:hAnsiTheme="majorHAnsi"/>
        </w:rPr>
        <w:t xml:space="preserve">operational </w:t>
      </w:r>
      <w:r w:rsidR="005236AC">
        <w:rPr>
          <w:rFonts w:asciiTheme="majorHAnsi" w:hAnsiTheme="majorHAnsi"/>
        </w:rPr>
        <w:t>CCAs themselves.</w:t>
      </w:r>
      <w:r w:rsidR="00EE0CCB">
        <w:rPr>
          <w:rFonts w:asciiTheme="majorHAnsi" w:hAnsiTheme="majorHAnsi"/>
        </w:rPr>
        <w:t xml:space="preserve"> </w:t>
      </w:r>
      <w:r w:rsidR="0098686F">
        <w:rPr>
          <w:rFonts w:asciiTheme="majorHAnsi" w:hAnsiTheme="majorHAnsi"/>
        </w:rPr>
        <w:t xml:space="preserve">These FAQs are linked below and </w:t>
      </w:r>
      <w:r w:rsidR="00EE0CCB">
        <w:rPr>
          <w:rFonts w:asciiTheme="majorHAnsi" w:hAnsiTheme="majorHAnsi"/>
        </w:rPr>
        <w:t xml:space="preserve">are </w:t>
      </w:r>
      <w:r w:rsidR="0098686F">
        <w:rPr>
          <w:rFonts w:asciiTheme="majorHAnsi" w:hAnsiTheme="majorHAnsi"/>
        </w:rPr>
        <w:t xml:space="preserve">also </w:t>
      </w:r>
      <w:r w:rsidR="00EE0CCB">
        <w:rPr>
          <w:rFonts w:asciiTheme="majorHAnsi" w:hAnsiTheme="majorHAnsi"/>
        </w:rPr>
        <w:t>collected at the Clean Power Exchange CCA resource website:</w:t>
      </w:r>
    </w:p>
    <w:p w14:paraId="4606D5ED" w14:textId="77777777" w:rsidR="00EE0CCB" w:rsidRPr="00B74C8D" w:rsidRDefault="00EE0CCB" w:rsidP="00451094">
      <w:pPr>
        <w:rPr>
          <w:rFonts w:asciiTheme="majorHAnsi" w:hAnsiTheme="majorHAnsi"/>
          <w:color w:val="9A312E"/>
          <w:sz w:val="20"/>
          <w:szCs w:val="20"/>
        </w:rPr>
      </w:pPr>
    </w:p>
    <w:p w14:paraId="0F49C47C" w14:textId="77777777" w:rsidR="00EE0CCB" w:rsidRPr="00755EF8" w:rsidRDefault="00A72B95" w:rsidP="00EE0CCB">
      <w:pPr>
        <w:numPr>
          <w:ilvl w:val="0"/>
          <w:numId w:val="2"/>
        </w:numPr>
        <w:shd w:val="clear" w:color="auto" w:fill="FFFFFF"/>
        <w:ind w:left="345" w:firstLine="0"/>
        <w:textAlignment w:val="baseline"/>
        <w:rPr>
          <w:rStyle w:val="Hyperlink"/>
          <w:color w:val="824883"/>
          <w:bdr w:val="none" w:sz="0" w:space="0" w:color="auto" w:frame="1"/>
        </w:rPr>
      </w:pPr>
      <w:hyperlink r:id="rId7" w:tgtFrame="_blank" w:history="1">
        <w:r w:rsidR="00EE0CCB" w:rsidRPr="00755EF8">
          <w:rPr>
            <w:rStyle w:val="Hyperlink"/>
            <w:rFonts w:asciiTheme="majorHAnsi" w:eastAsia="Times New Roman" w:hAnsiTheme="majorHAnsi"/>
            <w:color w:val="824883"/>
            <w:bdr w:val="none" w:sz="0" w:space="0" w:color="auto" w:frame="1"/>
          </w:rPr>
          <w:t>MCE Clean Energy</w:t>
        </w:r>
      </w:hyperlink>
    </w:p>
    <w:p w14:paraId="1C03854B" w14:textId="77777777" w:rsidR="00EE0CCB" w:rsidRPr="00B74C8D" w:rsidRDefault="00A72B95" w:rsidP="00EE0CCB">
      <w:pPr>
        <w:numPr>
          <w:ilvl w:val="0"/>
          <w:numId w:val="2"/>
        </w:numPr>
        <w:shd w:val="clear" w:color="auto" w:fill="FFFFFF"/>
        <w:ind w:left="345" w:firstLine="0"/>
        <w:textAlignment w:val="baseline"/>
        <w:rPr>
          <w:rFonts w:asciiTheme="majorHAnsi" w:eastAsia="Times New Roman" w:hAnsiTheme="majorHAnsi"/>
          <w:color w:val="824883"/>
        </w:rPr>
      </w:pPr>
      <w:hyperlink r:id="rId8" w:tgtFrame="_blank" w:history="1">
        <w:r w:rsidR="00EE0CCB" w:rsidRPr="00B74C8D">
          <w:rPr>
            <w:rStyle w:val="Hyperlink"/>
            <w:rFonts w:asciiTheme="majorHAnsi" w:eastAsia="Times New Roman" w:hAnsiTheme="majorHAnsi"/>
            <w:color w:val="824883"/>
            <w:bdr w:val="none" w:sz="0" w:space="0" w:color="auto" w:frame="1"/>
          </w:rPr>
          <w:t>Sonoma Clean Power</w:t>
        </w:r>
      </w:hyperlink>
    </w:p>
    <w:p w14:paraId="4E1D4338" w14:textId="77777777" w:rsidR="00EE0CCB" w:rsidRPr="00B74C8D" w:rsidRDefault="00A72B95" w:rsidP="00EE0CCB">
      <w:pPr>
        <w:numPr>
          <w:ilvl w:val="0"/>
          <w:numId w:val="2"/>
        </w:numPr>
        <w:shd w:val="clear" w:color="auto" w:fill="FFFFFF"/>
        <w:ind w:left="345" w:firstLine="0"/>
        <w:textAlignment w:val="baseline"/>
        <w:rPr>
          <w:rFonts w:asciiTheme="majorHAnsi" w:eastAsia="Times New Roman" w:hAnsiTheme="majorHAnsi"/>
          <w:color w:val="824883"/>
        </w:rPr>
      </w:pPr>
      <w:hyperlink r:id="rId9" w:tgtFrame="_blank" w:history="1">
        <w:r w:rsidR="00EE0CCB" w:rsidRPr="00B74C8D">
          <w:rPr>
            <w:rStyle w:val="Hyperlink"/>
            <w:rFonts w:asciiTheme="majorHAnsi" w:eastAsia="Times New Roman" w:hAnsiTheme="majorHAnsi"/>
            <w:color w:val="824883"/>
            <w:bdr w:val="none" w:sz="0" w:space="0" w:color="auto" w:frame="1"/>
          </w:rPr>
          <w:t>Lancaster Choice Energy</w:t>
        </w:r>
      </w:hyperlink>
    </w:p>
    <w:p w14:paraId="53A8A54B" w14:textId="77777777" w:rsidR="00EE0CCB" w:rsidRPr="00B74C8D" w:rsidRDefault="00A72B95" w:rsidP="00EE0CCB">
      <w:pPr>
        <w:numPr>
          <w:ilvl w:val="0"/>
          <w:numId w:val="2"/>
        </w:numPr>
        <w:shd w:val="clear" w:color="auto" w:fill="FFFFFF"/>
        <w:ind w:left="345" w:firstLine="0"/>
        <w:textAlignment w:val="baseline"/>
        <w:rPr>
          <w:rFonts w:asciiTheme="majorHAnsi" w:eastAsia="Times New Roman" w:hAnsiTheme="majorHAnsi"/>
          <w:color w:val="824883"/>
        </w:rPr>
      </w:pPr>
      <w:hyperlink r:id="rId10" w:tgtFrame="_blank" w:history="1">
        <w:r w:rsidR="00EE0CCB" w:rsidRPr="00B74C8D">
          <w:rPr>
            <w:rStyle w:val="Hyperlink"/>
            <w:rFonts w:asciiTheme="majorHAnsi" w:eastAsia="Times New Roman" w:hAnsiTheme="majorHAnsi"/>
            <w:color w:val="824883"/>
            <w:bdr w:val="none" w:sz="0" w:space="0" w:color="auto" w:frame="1"/>
          </w:rPr>
          <w:t>CleanPowerSF</w:t>
        </w:r>
      </w:hyperlink>
    </w:p>
    <w:p w14:paraId="07DA01F2" w14:textId="77777777" w:rsidR="00EE0CCB" w:rsidRPr="00B74C8D" w:rsidRDefault="00A72B95" w:rsidP="00EE0CCB">
      <w:pPr>
        <w:numPr>
          <w:ilvl w:val="0"/>
          <w:numId w:val="2"/>
        </w:numPr>
        <w:shd w:val="clear" w:color="auto" w:fill="FFFFFF"/>
        <w:ind w:left="345" w:firstLine="0"/>
        <w:textAlignment w:val="baseline"/>
        <w:rPr>
          <w:rFonts w:asciiTheme="majorHAnsi" w:eastAsia="Times New Roman" w:hAnsiTheme="majorHAnsi"/>
          <w:color w:val="824883"/>
        </w:rPr>
      </w:pPr>
      <w:hyperlink r:id="rId11" w:tgtFrame="_blank" w:history="1">
        <w:r w:rsidR="00EE0CCB" w:rsidRPr="00B74C8D">
          <w:rPr>
            <w:rStyle w:val="Hyperlink"/>
            <w:rFonts w:asciiTheme="majorHAnsi" w:eastAsia="Times New Roman" w:hAnsiTheme="majorHAnsi"/>
            <w:color w:val="824883"/>
            <w:bdr w:val="none" w:sz="0" w:space="0" w:color="auto" w:frame="1"/>
          </w:rPr>
          <w:t>Peninsula Clean Energy</w:t>
        </w:r>
      </w:hyperlink>
    </w:p>
    <w:p w14:paraId="51895045" w14:textId="77777777" w:rsidR="00EE0CCB" w:rsidRPr="00B74C8D" w:rsidRDefault="00A72B95" w:rsidP="00EE0CCB">
      <w:pPr>
        <w:numPr>
          <w:ilvl w:val="0"/>
          <w:numId w:val="2"/>
        </w:numPr>
        <w:shd w:val="clear" w:color="auto" w:fill="FFFFFF"/>
        <w:ind w:left="345" w:firstLine="0"/>
        <w:textAlignment w:val="baseline"/>
        <w:rPr>
          <w:rFonts w:asciiTheme="majorHAnsi" w:eastAsia="Times New Roman" w:hAnsiTheme="majorHAnsi"/>
          <w:color w:val="824883"/>
        </w:rPr>
      </w:pPr>
      <w:hyperlink r:id="rId12" w:tgtFrame="_blank" w:history="1">
        <w:r w:rsidR="00EE0CCB" w:rsidRPr="00B74C8D">
          <w:rPr>
            <w:rStyle w:val="Hyperlink"/>
            <w:rFonts w:asciiTheme="majorHAnsi" w:eastAsia="Times New Roman" w:hAnsiTheme="majorHAnsi"/>
            <w:color w:val="824883"/>
            <w:bdr w:val="none" w:sz="0" w:space="0" w:color="auto" w:frame="1"/>
          </w:rPr>
          <w:t>Silicon Valley Community Choice Energy Partnership</w:t>
        </w:r>
      </w:hyperlink>
    </w:p>
    <w:p w14:paraId="1BD9391E" w14:textId="77777777" w:rsidR="0098686F" w:rsidRPr="00B74C8D" w:rsidRDefault="00A72B95" w:rsidP="00EE0CCB">
      <w:pPr>
        <w:numPr>
          <w:ilvl w:val="0"/>
          <w:numId w:val="2"/>
        </w:numPr>
        <w:shd w:val="clear" w:color="auto" w:fill="FFFFFF"/>
        <w:ind w:left="345" w:firstLine="0"/>
        <w:textAlignment w:val="baseline"/>
        <w:rPr>
          <w:rFonts w:asciiTheme="majorHAnsi" w:eastAsia="Times New Roman" w:hAnsiTheme="majorHAnsi"/>
          <w:color w:val="824883"/>
        </w:rPr>
      </w:pPr>
      <w:hyperlink r:id="rId13" w:history="1">
        <w:r w:rsidR="0098686F" w:rsidRPr="00B74C8D">
          <w:rPr>
            <w:rStyle w:val="Hyperlink"/>
            <w:rFonts w:asciiTheme="majorHAnsi" w:eastAsia="Times New Roman" w:hAnsiTheme="majorHAnsi"/>
            <w:color w:val="824883"/>
          </w:rPr>
          <w:t>Clean Power Exchange</w:t>
        </w:r>
      </w:hyperlink>
    </w:p>
    <w:p w14:paraId="7770E366" w14:textId="77777777" w:rsidR="00EE0CCB" w:rsidRDefault="00EE0CCB" w:rsidP="00451094">
      <w:pPr>
        <w:pBdr>
          <w:bottom w:val="single" w:sz="12" w:space="1" w:color="auto"/>
        </w:pBdr>
        <w:rPr>
          <w:rFonts w:asciiTheme="majorHAnsi" w:hAnsiTheme="majorHAnsi"/>
        </w:rPr>
      </w:pPr>
    </w:p>
    <w:p w14:paraId="034770A4" w14:textId="77777777" w:rsidR="00E27141" w:rsidRDefault="00E27141">
      <w:pPr>
        <w:rPr>
          <w:rFonts w:asciiTheme="majorHAnsi" w:hAnsiTheme="majorHAnsi"/>
        </w:rPr>
      </w:pPr>
    </w:p>
    <w:p w14:paraId="02DE24AC" w14:textId="6513BC9E" w:rsidR="00EE0CCB" w:rsidRDefault="00710DBD">
      <w:pPr>
        <w:rPr>
          <w:rFonts w:asciiTheme="majorHAnsi" w:hAnsiTheme="majorHAnsi"/>
        </w:rPr>
      </w:pPr>
      <w:r>
        <w:rPr>
          <w:rFonts w:asciiTheme="majorHAnsi" w:hAnsiTheme="majorHAnsi"/>
        </w:rPr>
        <w:t>The following table groups the subjects</w:t>
      </w:r>
      <w:r w:rsidR="00200770">
        <w:rPr>
          <w:rFonts w:asciiTheme="majorHAnsi" w:hAnsiTheme="majorHAnsi"/>
        </w:rPr>
        <w:t xml:space="preserve"> according to type: Question or</w:t>
      </w:r>
      <w:r w:rsidR="000D3A0C">
        <w:rPr>
          <w:rFonts w:asciiTheme="majorHAnsi" w:hAnsiTheme="majorHAnsi"/>
        </w:rPr>
        <w:t xml:space="preserve"> </w:t>
      </w:r>
      <w:r w:rsidR="00AC4816">
        <w:rPr>
          <w:rFonts w:asciiTheme="majorHAnsi" w:hAnsiTheme="majorHAnsi"/>
        </w:rPr>
        <w:t xml:space="preserve">Other </w:t>
      </w:r>
      <w:r w:rsidR="00A20427">
        <w:rPr>
          <w:rFonts w:asciiTheme="majorHAnsi" w:hAnsiTheme="majorHAnsi"/>
        </w:rPr>
        <w:t>Concern</w:t>
      </w:r>
      <w:r w:rsidR="00AC4816">
        <w:rPr>
          <w:rFonts w:asciiTheme="majorHAnsi" w:hAnsiTheme="majorHAnsi"/>
        </w:rPr>
        <w:t>s Expressed</w:t>
      </w:r>
      <w:r w:rsidR="00200770">
        <w:rPr>
          <w:rFonts w:asciiTheme="majorHAnsi" w:hAnsiTheme="majorHAnsi"/>
        </w:rPr>
        <w:t>.</w:t>
      </w:r>
    </w:p>
    <w:p w14:paraId="1F318E1D" w14:textId="77777777" w:rsidR="000B1B73" w:rsidRPr="00451094" w:rsidRDefault="000B1B73" w:rsidP="00451094">
      <w:pPr>
        <w:rPr>
          <w:rFonts w:asciiTheme="majorHAnsi" w:hAnsiTheme="majorHAnsi"/>
        </w:rPr>
      </w:pPr>
    </w:p>
    <w:tbl>
      <w:tblPr>
        <w:tblStyle w:val="TableGrid"/>
        <w:tblW w:w="0" w:type="auto"/>
        <w:tblLook w:val="04A0" w:firstRow="1" w:lastRow="0" w:firstColumn="1" w:lastColumn="0" w:noHBand="0" w:noVBand="1"/>
      </w:tblPr>
      <w:tblGrid>
        <w:gridCol w:w="3317"/>
        <w:gridCol w:w="6259"/>
      </w:tblGrid>
      <w:tr w:rsidR="00DE033C" w:rsidRPr="00B74C8D" w14:paraId="7EA28BCE" w14:textId="77777777" w:rsidTr="00A919E3">
        <w:tc>
          <w:tcPr>
            <w:tcW w:w="9576" w:type="dxa"/>
            <w:gridSpan w:val="2"/>
            <w:shd w:val="clear" w:color="auto" w:fill="F3F3F3"/>
          </w:tcPr>
          <w:p w14:paraId="4B25A7C8" w14:textId="77777777" w:rsidR="00DE033C" w:rsidRPr="00B74C8D" w:rsidRDefault="00DE033C" w:rsidP="00DE033C">
            <w:pPr>
              <w:jc w:val="center"/>
              <w:rPr>
                <w:rFonts w:asciiTheme="majorHAnsi" w:hAnsiTheme="majorHAnsi"/>
                <w:b/>
                <w:sz w:val="22"/>
                <w:szCs w:val="22"/>
              </w:rPr>
            </w:pPr>
            <w:r w:rsidRPr="00B74C8D">
              <w:rPr>
                <w:rFonts w:asciiTheme="majorHAnsi" w:hAnsiTheme="majorHAnsi"/>
                <w:b/>
                <w:sz w:val="22"/>
                <w:szCs w:val="22"/>
              </w:rPr>
              <w:t>Questions</w:t>
            </w:r>
          </w:p>
        </w:tc>
      </w:tr>
      <w:tr w:rsidR="000B1B73" w:rsidRPr="00B74C8D" w14:paraId="1B049DAF" w14:textId="77777777" w:rsidTr="00DE033C">
        <w:tc>
          <w:tcPr>
            <w:tcW w:w="3317" w:type="dxa"/>
          </w:tcPr>
          <w:p w14:paraId="3CDA4A1C" w14:textId="77777777" w:rsidR="000B1B73" w:rsidRPr="00B74C8D" w:rsidRDefault="000B1B73" w:rsidP="00DE033C">
            <w:pPr>
              <w:widowControl w:val="0"/>
              <w:autoSpaceDE w:val="0"/>
              <w:autoSpaceDN w:val="0"/>
              <w:adjustRightInd w:val="0"/>
              <w:jc w:val="center"/>
              <w:rPr>
                <w:rFonts w:asciiTheme="majorHAnsi" w:hAnsiTheme="majorHAnsi" w:cs="Cambria"/>
                <w:b/>
                <w:color w:val="000000"/>
                <w:sz w:val="22"/>
                <w:szCs w:val="22"/>
              </w:rPr>
            </w:pPr>
            <w:r w:rsidRPr="00B74C8D">
              <w:rPr>
                <w:rFonts w:asciiTheme="majorHAnsi" w:hAnsiTheme="majorHAnsi" w:cs="Cambria"/>
                <w:b/>
                <w:color w:val="000000"/>
                <w:sz w:val="22"/>
                <w:szCs w:val="22"/>
              </w:rPr>
              <w:t>Question</w:t>
            </w:r>
          </w:p>
        </w:tc>
        <w:tc>
          <w:tcPr>
            <w:tcW w:w="6259" w:type="dxa"/>
          </w:tcPr>
          <w:p w14:paraId="1D59D9C8" w14:textId="77777777" w:rsidR="000B1B73" w:rsidRPr="00B74C8D" w:rsidRDefault="000B1B73" w:rsidP="00DE033C">
            <w:pPr>
              <w:jc w:val="center"/>
              <w:rPr>
                <w:rFonts w:asciiTheme="majorHAnsi" w:hAnsiTheme="majorHAnsi"/>
                <w:b/>
                <w:sz w:val="22"/>
                <w:szCs w:val="22"/>
              </w:rPr>
            </w:pPr>
            <w:r w:rsidRPr="00B74C8D">
              <w:rPr>
                <w:rFonts w:asciiTheme="majorHAnsi" w:hAnsiTheme="majorHAnsi"/>
                <w:b/>
                <w:sz w:val="22"/>
                <w:szCs w:val="22"/>
              </w:rPr>
              <w:t>Response</w:t>
            </w:r>
          </w:p>
        </w:tc>
      </w:tr>
      <w:tr w:rsidR="001E6AFC" w:rsidRPr="00B74C8D" w14:paraId="51BFAE84" w14:textId="77777777" w:rsidTr="00DE033C">
        <w:tc>
          <w:tcPr>
            <w:tcW w:w="3317" w:type="dxa"/>
          </w:tcPr>
          <w:p w14:paraId="1B21F5C1" w14:textId="77777777" w:rsidR="001E6AFC" w:rsidRPr="00B74C8D" w:rsidRDefault="001E6AFC" w:rsidP="00007860">
            <w:pPr>
              <w:pStyle w:val="ListParagraph"/>
              <w:widowControl w:val="0"/>
              <w:numPr>
                <w:ilvl w:val="0"/>
                <w:numId w:val="3"/>
              </w:numPr>
              <w:autoSpaceDE w:val="0"/>
              <w:autoSpaceDN w:val="0"/>
              <w:adjustRightInd w:val="0"/>
              <w:rPr>
                <w:rFonts w:asciiTheme="majorHAnsi" w:hAnsiTheme="majorHAnsi" w:cs="Cambria"/>
                <w:color w:val="000000"/>
                <w:sz w:val="22"/>
                <w:szCs w:val="22"/>
              </w:rPr>
            </w:pPr>
            <w:r w:rsidRPr="00B74C8D">
              <w:rPr>
                <w:rFonts w:asciiTheme="majorHAnsi" w:hAnsiTheme="majorHAnsi" w:cs="Cambria"/>
                <w:color w:val="000000"/>
                <w:sz w:val="22"/>
                <w:szCs w:val="22"/>
              </w:rPr>
              <w:t>Why is CCA an opt-out program? Why can’t it be opt-in?</w:t>
            </w:r>
          </w:p>
        </w:tc>
        <w:tc>
          <w:tcPr>
            <w:tcW w:w="6259" w:type="dxa"/>
          </w:tcPr>
          <w:p w14:paraId="00DDA2EA" w14:textId="77777777" w:rsidR="001E6AFC" w:rsidRPr="00B74C8D" w:rsidRDefault="001E6AFC" w:rsidP="00DE033C">
            <w:pPr>
              <w:rPr>
                <w:rFonts w:asciiTheme="majorHAnsi" w:hAnsiTheme="majorHAnsi"/>
                <w:sz w:val="22"/>
                <w:szCs w:val="22"/>
              </w:rPr>
            </w:pPr>
            <w:r w:rsidRPr="00B74C8D">
              <w:rPr>
                <w:rFonts w:asciiTheme="majorHAnsi" w:hAnsiTheme="majorHAnsi"/>
                <w:sz w:val="22"/>
                <w:szCs w:val="22"/>
              </w:rPr>
              <w:t xml:space="preserve">As local, not-for-profit public agencies, CCAs are the default service provider </w:t>
            </w:r>
            <w:r w:rsidR="005156D6" w:rsidRPr="00B74C8D">
              <w:rPr>
                <w:rFonts w:asciiTheme="majorHAnsi" w:hAnsiTheme="majorHAnsi"/>
                <w:sz w:val="22"/>
                <w:szCs w:val="22"/>
              </w:rPr>
              <w:t xml:space="preserve">in their service territory </w:t>
            </w:r>
            <w:r w:rsidRPr="00B74C8D">
              <w:rPr>
                <w:rFonts w:asciiTheme="majorHAnsi" w:hAnsiTheme="majorHAnsi"/>
                <w:sz w:val="22"/>
                <w:szCs w:val="22"/>
              </w:rPr>
              <w:t>as a matter of state law,</w:t>
            </w:r>
            <w:r w:rsidRPr="00B74C8D">
              <w:rPr>
                <w:rStyle w:val="FootnoteReference"/>
                <w:rFonts w:asciiTheme="majorHAnsi" w:hAnsiTheme="majorHAnsi"/>
                <w:sz w:val="22"/>
                <w:szCs w:val="22"/>
              </w:rPr>
              <w:footnoteReference w:id="1"/>
            </w:r>
            <w:r w:rsidRPr="00B74C8D">
              <w:rPr>
                <w:rFonts w:asciiTheme="majorHAnsi" w:hAnsiTheme="majorHAnsi"/>
                <w:sz w:val="22"/>
                <w:szCs w:val="22"/>
              </w:rPr>
              <w:t xml:space="preserve"> similar to other municipal services. In the case of CCA, </w:t>
            </w:r>
            <w:r w:rsidR="00344F76" w:rsidRPr="00B74C8D">
              <w:rPr>
                <w:rFonts w:asciiTheme="majorHAnsi" w:hAnsiTheme="majorHAnsi"/>
                <w:sz w:val="22"/>
                <w:szCs w:val="22"/>
              </w:rPr>
              <w:t xml:space="preserve">electric utility </w:t>
            </w:r>
            <w:r w:rsidRPr="00B74C8D">
              <w:rPr>
                <w:rFonts w:asciiTheme="majorHAnsi" w:hAnsiTheme="majorHAnsi"/>
                <w:sz w:val="22"/>
                <w:szCs w:val="22"/>
              </w:rPr>
              <w:t>customers for the first time in 100 years have a choice about their electricity service.</w:t>
            </w:r>
            <w:r w:rsidR="00344F76" w:rsidRPr="00B74C8D">
              <w:rPr>
                <w:rFonts w:asciiTheme="majorHAnsi" w:hAnsiTheme="majorHAnsi"/>
                <w:sz w:val="22"/>
                <w:szCs w:val="22"/>
              </w:rPr>
              <w:t xml:space="preserve"> Customers have the power to choose by opting out of the CCA at any time.</w:t>
            </w:r>
          </w:p>
        </w:tc>
      </w:tr>
      <w:tr w:rsidR="000B1B73" w:rsidRPr="00B74C8D" w14:paraId="5951E28C" w14:textId="77777777" w:rsidTr="00DE033C">
        <w:tc>
          <w:tcPr>
            <w:tcW w:w="3317" w:type="dxa"/>
          </w:tcPr>
          <w:p w14:paraId="59BCBE14" w14:textId="77777777" w:rsidR="000B1B73" w:rsidRPr="00B74C8D" w:rsidRDefault="000B1B73" w:rsidP="00007860">
            <w:pPr>
              <w:pStyle w:val="ListParagraph"/>
              <w:widowControl w:val="0"/>
              <w:numPr>
                <w:ilvl w:val="0"/>
                <w:numId w:val="3"/>
              </w:numPr>
              <w:autoSpaceDE w:val="0"/>
              <w:autoSpaceDN w:val="0"/>
              <w:adjustRightInd w:val="0"/>
              <w:rPr>
                <w:rFonts w:asciiTheme="majorHAnsi" w:hAnsiTheme="majorHAnsi" w:cs="Cambria"/>
                <w:color w:val="000000"/>
                <w:sz w:val="22"/>
                <w:szCs w:val="22"/>
              </w:rPr>
            </w:pPr>
            <w:r w:rsidRPr="00B74C8D">
              <w:rPr>
                <w:rFonts w:asciiTheme="majorHAnsi" w:hAnsiTheme="majorHAnsi" w:cs="Cambria"/>
                <w:color w:val="000000"/>
                <w:sz w:val="22"/>
                <w:szCs w:val="22"/>
              </w:rPr>
              <w:t xml:space="preserve">Why is PG&amp;E not participating in this discussion? </w:t>
            </w:r>
          </w:p>
        </w:tc>
        <w:tc>
          <w:tcPr>
            <w:tcW w:w="6259" w:type="dxa"/>
          </w:tcPr>
          <w:p w14:paraId="38D4DDE8" w14:textId="463BB23C" w:rsidR="000B1B73" w:rsidRPr="00B74C8D" w:rsidRDefault="00957055" w:rsidP="00B74C8D">
            <w:pPr>
              <w:rPr>
                <w:rFonts w:asciiTheme="majorHAnsi" w:hAnsiTheme="majorHAnsi"/>
                <w:sz w:val="22"/>
                <w:szCs w:val="22"/>
              </w:rPr>
            </w:pPr>
            <w:r w:rsidRPr="00B74C8D">
              <w:rPr>
                <w:rFonts w:asciiTheme="majorHAnsi" w:hAnsiTheme="majorHAnsi"/>
                <w:sz w:val="22"/>
                <w:szCs w:val="22"/>
              </w:rPr>
              <w:t xml:space="preserve">PG&amp;E has </w:t>
            </w:r>
            <w:r w:rsidR="000B1B73" w:rsidRPr="00B74C8D">
              <w:rPr>
                <w:rFonts w:asciiTheme="majorHAnsi" w:hAnsiTheme="majorHAnsi"/>
                <w:sz w:val="22"/>
                <w:szCs w:val="22"/>
              </w:rPr>
              <w:t xml:space="preserve">been invited in the past in other CCA formation efforts and have declined. It is risky for them to do so because IOUs </w:t>
            </w:r>
            <w:r w:rsidR="000B1B73" w:rsidRPr="00B74C8D">
              <w:rPr>
                <w:rFonts w:asciiTheme="majorHAnsi" w:hAnsiTheme="majorHAnsi"/>
                <w:sz w:val="22"/>
                <w:szCs w:val="22"/>
              </w:rPr>
              <w:lastRenderedPageBreak/>
              <w:t>operate under a “</w:t>
            </w:r>
            <w:r w:rsidRPr="00B74C8D">
              <w:rPr>
                <w:rFonts w:asciiTheme="majorHAnsi" w:hAnsiTheme="majorHAnsi"/>
                <w:sz w:val="22"/>
                <w:szCs w:val="22"/>
              </w:rPr>
              <w:t>code of conduct” imposed upon them</w:t>
            </w:r>
            <w:r w:rsidR="000B1B73" w:rsidRPr="00B74C8D">
              <w:rPr>
                <w:rFonts w:asciiTheme="majorHAnsi" w:hAnsiTheme="majorHAnsi"/>
                <w:sz w:val="22"/>
                <w:szCs w:val="22"/>
              </w:rPr>
              <w:t xml:space="preserve"> by the state legislature in 2011. SB790 prohibits IOUs from marketing against CCAs unless </w:t>
            </w:r>
            <w:r w:rsidR="000B1B73" w:rsidRPr="002153A7">
              <w:rPr>
                <w:rFonts w:asciiTheme="majorHAnsi" w:hAnsiTheme="majorHAnsi"/>
                <w:sz w:val="22"/>
                <w:szCs w:val="22"/>
              </w:rPr>
              <w:t>the</w:t>
            </w:r>
            <w:r w:rsidR="00F37959" w:rsidRPr="002153A7">
              <w:rPr>
                <w:rFonts w:asciiTheme="majorHAnsi" w:hAnsiTheme="majorHAnsi"/>
                <w:sz w:val="22"/>
                <w:szCs w:val="22"/>
              </w:rPr>
              <w:t>y</w:t>
            </w:r>
            <w:r w:rsidR="000B1B73" w:rsidRPr="00B74C8D">
              <w:rPr>
                <w:rFonts w:asciiTheme="majorHAnsi" w:hAnsiTheme="majorHAnsi"/>
                <w:sz w:val="22"/>
                <w:szCs w:val="22"/>
              </w:rPr>
              <w:t xml:space="preserve"> file a marketing plan with the CPUC and create an independent marketing arm.</w:t>
            </w:r>
            <w:r w:rsidR="000B1B73" w:rsidRPr="00B74C8D">
              <w:rPr>
                <w:rStyle w:val="FootnoteReference"/>
                <w:rFonts w:asciiTheme="majorHAnsi" w:hAnsiTheme="majorHAnsi"/>
                <w:sz w:val="22"/>
                <w:szCs w:val="22"/>
              </w:rPr>
              <w:footnoteReference w:id="2"/>
            </w:r>
            <w:r w:rsidR="000B1B73" w:rsidRPr="00B74C8D">
              <w:rPr>
                <w:rFonts w:asciiTheme="majorHAnsi" w:hAnsiTheme="majorHAnsi"/>
                <w:sz w:val="22"/>
                <w:szCs w:val="22"/>
              </w:rPr>
              <w:t xml:space="preserve"> SB790 resulted from years of IOU obstruction of the formation of CCAs regardless of the fact that the original law, AB117, requires “full cooperation” with emerging CCAs.</w:t>
            </w:r>
          </w:p>
        </w:tc>
      </w:tr>
      <w:tr w:rsidR="000B1B73" w:rsidRPr="00B74C8D" w14:paraId="3AB4DAD6" w14:textId="77777777" w:rsidTr="00DE033C">
        <w:tc>
          <w:tcPr>
            <w:tcW w:w="3317" w:type="dxa"/>
          </w:tcPr>
          <w:p w14:paraId="356D09D3" w14:textId="1B7A3A07" w:rsidR="000B1B73" w:rsidRPr="00B74C8D" w:rsidRDefault="000B1B73" w:rsidP="00007860">
            <w:pPr>
              <w:pStyle w:val="ListParagraph"/>
              <w:widowControl w:val="0"/>
              <w:numPr>
                <w:ilvl w:val="0"/>
                <w:numId w:val="3"/>
              </w:numPr>
              <w:autoSpaceDE w:val="0"/>
              <w:autoSpaceDN w:val="0"/>
              <w:adjustRightInd w:val="0"/>
              <w:rPr>
                <w:rFonts w:asciiTheme="majorHAnsi" w:hAnsiTheme="majorHAnsi" w:cs="Cambria"/>
                <w:color w:val="000000"/>
                <w:sz w:val="22"/>
                <w:szCs w:val="22"/>
              </w:rPr>
            </w:pPr>
            <w:r w:rsidRPr="00B74C8D">
              <w:rPr>
                <w:rFonts w:asciiTheme="majorHAnsi" w:hAnsiTheme="majorHAnsi" w:cs="Cambria"/>
                <w:color w:val="000000"/>
                <w:sz w:val="22"/>
                <w:szCs w:val="22"/>
              </w:rPr>
              <w:lastRenderedPageBreak/>
              <w:t xml:space="preserve">Financial projections are based on PG&amp;E rates staying at the current levels. What will happen if prices fall again and rate-setting policy changes to lower rates? </w:t>
            </w:r>
          </w:p>
        </w:tc>
        <w:tc>
          <w:tcPr>
            <w:tcW w:w="6259" w:type="dxa"/>
          </w:tcPr>
          <w:p w14:paraId="331EABE2" w14:textId="2312C507" w:rsidR="000B1B73" w:rsidRPr="00B74C8D" w:rsidRDefault="000B1B73" w:rsidP="00AB212A">
            <w:pPr>
              <w:rPr>
                <w:rFonts w:asciiTheme="majorHAnsi" w:hAnsiTheme="majorHAnsi"/>
                <w:sz w:val="22"/>
                <w:szCs w:val="22"/>
              </w:rPr>
            </w:pPr>
            <w:r w:rsidRPr="00253E5A">
              <w:rPr>
                <w:rFonts w:asciiTheme="majorHAnsi" w:hAnsiTheme="majorHAnsi"/>
                <w:sz w:val="22"/>
                <w:szCs w:val="22"/>
              </w:rPr>
              <w:t>CCAs have demonstrated amply that they can respond quickly to market changes</w:t>
            </w:r>
            <w:r w:rsidR="001D7CD7" w:rsidRPr="00253E5A">
              <w:rPr>
                <w:rFonts w:asciiTheme="majorHAnsi" w:hAnsiTheme="majorHAnsi"/>
                <w:sz w:val="22"/>
                <w:szCs w:val="22"/>
              </w:rPr>
              <w:t xml:space="preserve"> and lower their energy rates as needed</w:t>
            </w:r>
            <w:r w:rsidRPr="00253E5A">
              <w:rPr>
                <w:rFonts w:asciiTheme="majorHAnsi" w:hAnsiTheme="majorHAnsi"/>
                <w:sz w:val="22"/>
                <w:szCs w:val="22"/>
              </w:rPr>
              <w:t>.</w:t>
            </w:r>
            <w:r w:rsidR="001D7CD7" w:rsidRPr="00253E5A">
              <w:rPr>
                <w:rFonts w:asciiTheme="majorHAnsi" w:hAnsiTheme="majorHAnsi"/>
                <w:sz w:val="22"/>
                <w:szCs w:val="22"/>
              </w:rPr>
              <w:t xml:space="preserve"> This is possible because, once underway, CCA</w:t>
            </w:r>
            <w:r w:rsidR="000A685D" w:rsidRPr="00253E5A">
              <w:rPr>
                <w:rFonts w:asciiTheme="majorHAnsi" w:hAnsiTheme="majorHAnsi"/>
                <w:sz w:val="22"/>
                <w:szCs w:val="22"/>
              </w:rPr>
              <w:t>s</w:t>
            </w:r>
            <w:r w:rsidR="001D7CD7" w:rsidRPr="00253E5A">
              <w:rPr>
                <w:rFonts w:asciiTheme="majorHAnsi" w:hAnsiTheme="majorHAnsi"/>
                <w:sz w:val="22"/>
                <w:szCs w:val="22"/>
              </w:rPr>
              <w:t xml:space="preserve"> typically generate a surplus</w:t>
            </w:r>
            <w:r w:rsidR="00AB212A" w:rsidRPr="00253E5A">
              <w:rPr>
                <w:rFonts w:asciiTheme="majorHAnsi" w:hAnsiTheme="majorHAnsi"/>
                <w:sz w:val="22"/>
                <w:szCs w:val="22"/>
              </w:rPr>
              <w:t>. P</w:t>
            </w:r>
            <w:r w:rsidR="001D7CD7" w:rsidRPr="00253E5A">
              <w:rPr>
                <w:rFonts w:asciiTheme="majorHAnsi" w:hAnsiTheme="majorHAnsi"/>
                <w:sz w:val="22"/>
                <w:szCs w:val="22"/>
              </w:rPr>
              <w:t xml:space="preserve">art of this </w:t>
            </w:r>
            <w:r w:rsidR="00AB212A" w:rsidRPr="00253E5A">
              <w:rPr>
                <w:rFonts w:asciiTheme="majorHAnsi" w:hAnsiTheme="majorHAnsi"/>
                <w:sz w:val="22"/>
                <w:szCs w:val="22"/>
              </w:rPr>
              <w:t xml:space="preserve">surplus </w:t>
            </w:r>
            <w:r w:rsidR="001D7CD7" w:rsidRPr="00253E5A">
              <w:rPr>
                <w:rFonts w:asciiTheme="majorHAnsi" w:hAnsiTheme="majorHAnsi"/>
                <w:sz w:val="22"/>
                <w:szCs w:val="22"/>
              </w:rPr>
              <w:t>is set aside as a reserve to cover unanticipated costs or reduced revenues.</w:t>
            </w:r>
            <w:r w:rsidR="00AB212A" w:rsidRPr="00253E5A">
              <w:rPr>
                <w:rFonts w:asciiTheme="majorHAnsi" w:hAnsiTheme="majorHAnsi"/>
                <w:sz w:val="22"/>
                <w:szCs w:val="22"/>
              </w:rPr>
              <w:t xml:space="preserve"> The remainder is expended on green-house gas reducing programs – e.g. energy effici</w:t>
            </w:r>
            <w:r w:rsidR="000A685D" w:rsidRPr="00253E5A">
              <w:rPr>
                <w:rFonts w:asciiTheme="majorHAnsi" w:hAnsiTheme="majorHAnsi"/>
                <w:sz w:val="22"/>
                <w:szCs w:val="22"/>
              </w:rPr>
              <w:t>ency projects.</w:t>
            </w:r>
          </w:p>
        </w:tc>
      </w:tr>
      <w:tr w:rsidR="000B1B73" w:rsidRPr="00EA38B1" w14:paraId="1E3D615F" w14:textId="77777777" w:rsidTr="00DE033C">
        <w:tc>
          <w:tcPr>
            <w:tcW w:w="3317" w:type="dxa"/>
          </w:tcPr>
          <w:p w14:paraId="49C94E2E" w14:textId="09176D81" w:rsidR="000B1B73" w:rsidRPr="00AB212A" w:rsidRDefault="000B1B73" w:rsidP="00AB212A">
            <w:pPr>
              <w:pStyle w:val="ListParagraph"/>
              <w:widowControl w:val="0"/>
              <w:numPr>
                <w:ilvl w:val="0"/>
                <w:numId w:val="3"/>
              </w:numPr>
              <w:autoSpaceDE w:val="0"/>
              <w:autoSpaceDN w:val="0"/>
              <w:adjustRightInd w:val="0"/>
              <w:rPr>
                <w:rFonts w:asciiTheme="majorHAnsi" w:hAnsiTheme="majorHAnsi" w:cs="Courier New"/>
                <w:color w:val="000000"/>
                <w:sz w:val="22"/>
                <w:szCs w:val="22"/>
              </w:rPr>
            </w:pPr>
            <w:r w:rsidRPr="002153A7">
              <w:rPr>
                <w:rFonts w:asciiTheme="majorHAnsi" w:hAnsiTheme="majorHAnsi" w:cs="Cambria"/>
                <w:color w:val="000000"/>
                <w:sz w:val="22"/>
                <w:szCs w:val="22"/>
              </w:rPr>
              <w:t xml:space="preserve">Can San Jose accomplish the same </w:t>
            </w:r>
            <w:r w:rsidR="00062151" w:rsidRPr="002153A7">
              <w:rPr>
                <w:rFonts w:asciiTheme="majorHAnsi" w:hAnsiTheme="majorHAnsi" w:cs="Cambria"/>
                <w:color w:val="000000"/>
                <w:sz w:val="22"/>
                <w:szCs w:val="22"/>
              </w:rPr>
              <w:t>GHG reduction</w:t>
            </w:r>
            <w:r w:rsidR="00B74C8D" w:rsidRPr="002153A7">
              <w:rPr>
                <w:rFonts w:asciiTheme="majorHAnsi" w:hAnsiTheme="majorHAnsi" w:cs="Cambria"/>
                <w:color w:val="000000"/>
                <w:sz w:val="22"/>
                <w:szCs w:val="22"/>
              </w:rPr>
              <w:t>s</w:t>
            </w:r>
            <w:r w:rsidR="00062151" w:rsidRPr="002153A7">
              <w:rPr>
                <w:rFonts w:asciiTheme="majorHAnsi" w:hAnsiTheme="majorHAnsi" w:cs="Cambria"/>
                <w:color w:val="000000"/>
                <w:sz w:val="22"/>
                <w:szCs w:val="22"/>
              </w:rPr>
              <w:t xml:space="preserve"> by</w:t>
            </w:r>
            <w:r w:rsidR="00AB212A">
              <w:rPr>
                <w:rFonts w:asciiTheme="majorHAnsi" w:hAnsiTheme="majorHAnsi" w:cs="Courier New"/>
                <w:color w:val="000000"/>
                <w:sz w:val="22"/>
                <w:szCs w:val="22"/>
              </w:rPr>
              <w:t xml:space="preserve"> e</w:t>
            </w:r>
            <w:r w:rsidRPr="00AB212A">
              <w:rPr>
                <w:rFonts w:asciiTheme="majorHAnsi" w:hAnsiTheme="majorHAnsi" w:cs="Cambria"/>
                <w:color w:val="000000"/>
                <w:sz w:val="22"/>
                <w:szCs w:val="22"/>
              </w:rPr>
              <w:t>ncouraging every household to s</w:t>
            </w:r>
            <w:r w:rsidR="00AB212A">
              <w:rPr>
                <w:rFonts w:asciiTheme="majorHAnsi" w:hAnsiTheme="majorHAnsi" w:cs="Cambria"/>
                <w:color w:val="000000"/>
                <w:sz w:val="22"/>
                <w:szCs w:val="22"/>
              </w:rPr>
              <w:t>ign up for PG&amp;E 100% solar power</w:t>
            </w:r>
            <w:r w:rsidR="00E27141">
              <w:rPr>
                <w:rFonts w:asciiTheme="majorHAnsi" w:hAnsiTheme="majorHAnsi" w:cs="Cambria"/>
                <w:color w:val="000000"/>
                <w:sz w:val="22"/>
                <w:szCs w:val="22"/>
              </w:rPr>
              <w:t>?</w:t>
            </w:r>
          </w:p>
        </w:tc>
        <w:tc>
          <w:tcPr>
            <w:tcW w:w="6259" w:type="dxa"/>
          </w:tcPr>
          <w:p w14:paraId="4AC90E7B" w14:textId="333BA73D" w:rsidR="000B1B73" w:rsidRPr="00B74C8D" w:rsidRDefault="00CB6B3C" w:rsidP="00B74C8D">
            <w:pPr>
              <w:rPr>
                <w:rFonts w:asciiTheme="majorHAnsi" w:hAnsiTheme="majorHAnsi"/>
                <w:sz w:val="22"/>
                <w:szCs w:val="22"/>
              </w:rPr>
            </w:pPr>
            <w:r w:rsidRPr="002153A7">
              <w:rPr>
                <w:rFonts w:asciiTheme="majorHAnsi" w:hAnsiTheme="majorHAnsi"/>
                <w:sz w:val="22"/>
                <w:szCs w:val="22"/>
              </w:rPr>
              <w:t>Opt-in programs like the one PG&amp;E currently offers usually have fewer than 10 percent of customers opt-in. CCA programs are “opt out” and typically result in over 85% customer participation.</w:t>
            </w:r>
            <w:r w:rsidR="00AB212A">
              <w:rPr>
                <w:rFonts w:asciiTheme="majorHAnsi" w:hAnsiTheme="majorHAnsi"/>
                <w:sz w:val="22"/>
                <w:szCs w:val="22"/>
              </w:rPr>
              <w:t xml:space="preserve"> Other</w:t>
            </w:r>
            <w:r w:rsidR="00B74C8D">
              <w:rPr>
                <w:rFonts w:asciiTheme="majorHAnsi" w:hAnsiTheme="majorHAnsi"/>
                <w:sz w:val="22"/>
                <w:szCs w:val="22"/>
              </w:rPr>
              <w:t xml:space="preserve"> measures would p</w:t>
            </w:r>
            <w:r w:rsidR="000B1B73" w:rsidRPr="00B74C8D">
              <w:rPr>
                <w:rFonts w:asciiTheme="majorHAnsi" w:hAnsiTheme="majorHAnsi"/>
                <w:sz w:val="22"/>
                <w:szCs w:val="22"/>
              </w:rPr>
              <w:t>robably not come anywhere close to providing San Jose with the extraordinarily powerful tool of decision-making about energy sources over time, along with all the other statutory powers of a CCA.</w:t>
            </w:r>
            <w:r w:rsidR="00AA1189">
              <w:rPr>
                <w:rFonts w:asciiTheme="majorHAnsi" w:hAnsiTheme="majorHAnsi"/>
                <w:sz w:val="22"/>
                <w:szCs w:val="22"/>
              </w:rPr>
              <w:t xml:space="preserve"> </w:t>
            </w:r>
          </w:p>
        </w:tc>
      </w:tr>
      <w:tr w:rsidR="000B1B73" w:rsidRPr="00EA38B1" w14:paraId="0CFEABED" w14:textId="77777777" w:rsidTr="00DE033C">
        <w:tc>
          <w:tcPr>
            <w:tcW w:w="3317" w:type="dxa"/>
          </w:tcPr>
          <w:p w14:paraId="33CD4770" w14:textId="77777777" w:rsidR="000B1B73" w:rsidRPr="002153A7" w:rsidRDefault="000B1B73" w:rsidP="00007860">
            <w:pPr>
              <w:pStyle w:val="ListParagraph"/>
              <w:widowControl w:val="0"/>
              <w:numPr>
                <w:ilvl w:val="0"/>
                <w:numId w:val="3"/>
              </w:numPr>
              <w:autoSpaceDE w:val="0"/>
              <w:autoSpaceDN w:val="0"/>
              <w:adjustRightInd w:val="0"/>
              <w:rPr>
                <w:rFonts w:asciiTheme="majorHAnsi" w:hAnsiTheme="majorHAnsi" w:cs="Cambria"/>
                <w:color w:val="000000"/>
                <w:sz w:val="22"/>
                <w:szCs w:val="22"/>
              </w:rPr>
            </w:pPr>
            <w:r w:rsidRPr="002153A7">
              <w:rPr>
                <w:rFonts w:asciiTheme="majorHAnsi" w:hAnsiTheme="majorHAnsi" w:cs="Cambria"/>
                <w:color w:val="000000"/>
                <w:sz w:val="22"/>
                <w:szCs w:val="22"/>
              </w:rPr>
              <w:t xml:space="preserve">What are the financial requirements of succeeding in the wholesale power market? Does San Jose have the credit available to finance long-term power contracts? </w:t>
            </w:r>
          </w:p>
        </w:tc>
        <w:tc>
          <w:tcPr>
            <w:tcW w:w="6259" w:type="dxa"/>
          </w:tcPr>
          <w:p w14:paraId="648AFD12" w14:textId="431B7501" w:rsidR="00CB6B3C" w:rsidRDefault="00CB6B3C" w:rsidP="00DE033C">
            <w:pPr>
              <w:rPr>
                <w:rFonts w:asciiTheme="majorHAnsi" w:hAnsiTheme="majorHAnsi"/>
                <w:sz w:val="22"/>
                <w:szCs w:val="22"/>
              </w:rPr>
            </w:pPr>
            <w:r w:rsidRPr="002153A7">
              <w:rPr>
                <w:rFonts w:asciiTheme="majorHAnsi" w:hAnsiTheme="majorHAnsi"/>
                <w:sz w:val="22"/>
                <w:szCs w:val="22"/>
              </w:rPr>
              <w:t>None of the currently operating CCAs have had difficulty raising capital to finance their operations.</w:t>
            </w:r>
          </w:p>
          <w:p w14:paraId="653A69EE" w14:textId="77777777" w:rsidR="000B1B73" w:rsidRPr="00B74C8D" w:rsidRDefault="000B1B73" w:rsidP="00DE033C">
            <w:pPr>
              <w:rPr>
                <w:rFonts w:asciiTheme="majorHAnsi" w:hAnsiTheme="majorHAnsi"/>
                <w:sz w:val="22"/>
                <w:szCs w:val="22"/>
              </w:rPr>
            </w:pPr>
            <w:r w:rsidRPr="00B74C8D">
              <w:rPr>
                <w:rFonts w:asciiTheme="majorHAnsi" w:hAnsiTheme="majorHAnsi"/>
                <w:sz w:val="22"/>
                <w:szCs w:val="22"/>
              </w:rPr>
              <w:t>The City of Lancaster with a population of only 160,000 in the SCE service territory is probably the best example of a single jurisdiction having proven the concept.</w:t>
            </w:r>
            <w:r w:rsidRPr="00B74C8D">
              <w:rPr>
                <w:rStyle w:val="FootnoteReference"/>
                <w:rFonts w:asciiTheme="majorHAnsi" w:hAnsiTheme="majorHAnsi"/>
                <w:sz w:val="22"/>
                <w:szCs w:val="22"/>
              </w:rPr>
              <w:footnoteReference w:id="3"/>
            </w:r>
          </w:p>
        </w:tc>
      </w:tr>
      <w:tr w:rsidR="000B1B73" w:rsidRPr="00EA38B1" w14:paraId="2550A934" w14:textId="77777777" w:rsidTr="00DE033C">
        <w:tc>
          <w:tcPr>
            <w:tcW w:w="3317" w:type="dxa"/>
          </w:tcPr>
          <w:p w14:paraId="21165C1F" w14:textId="77777777" w:rsidR="000B1B73" w:rsidRPr="00B74C8D" w:rsidRDefault="000B1B73" w:rsidP="00007860">
            <w:pPr>
              <w:pStyle w:val="ListParagraph"/>
              <w:widowControl w:val="0"/>
              <w:numPr>
                <w:ilvl w:val="0"/>
                <w:numId w:val="3"/>
              </w:numPr>
              <w:autoSpaceDE w:val="0"/>
              <w:autoSpaceDN w:val="0"/>
              <w:adjustRightInd w:val="0"/>
              <w:rPr>
                <w:rFonts w:asciiTheme="majorHAnsi" w:hAnsiTheme="majorHAnsi" w:cs="Cambria"/>
                <w:color w:val="000000"/>
                <w:sz w:val="22"/>
                <w:szCs w:val="22"/>
              </w:rPr>
            </w:pPr>
            <w:r w:rsidRPr="00B74C8D">
              <w:rPr>
                <w:rFonts w:asciiTheme="majorHAnsi" w:hAnsiTheme="majorHAnsi" w:cs="Cambria"/>
                <w:color w:val="000000"/>
                <w:sz w:val="22"/>
                <w:szCs w:val="22"/>
              </w:rPr>
              <w:t xml:space="preserve">What will be the statewide GHG increase from shutting down Diablo Canyon? </w:t>
            </w:r>
          </w:p>
        </w:tc>
        <w:tc>
          <w:tcPr>
            <w:tcW w:w="6259" w:type="dxa"/>
          </w:tcPr>
          <w:p w14:paraId="71D8CD80" w14:textId="4E843596" w:rsidR="000B1B73" w:rsidRPr="00B74C8D" w:rsidRDefault="00B74C8D" w:rsidP="0053499D">
            <w:pPr>
              <w:rPr>
                <w:rFonts w:asciiTheme="majorHAnsi" w:hAnsiTheme="majorHAnsi"/>
                <w:sz w:val="22"/>
                <w:szCs w:val="22"/>
              </w:rPr>
            </w:pPr>
            <w:r>
              <w:rPr>
                <w:rFonts w:asciiTheme="majorHAnsi" w:hAnsiTheme="majorHAnsi"/>
                <w:sz w:val="22"/>
                <w:szCs w:val="22"/>
              </w:rPr>
              <w:t>Although</w:t>
            </w:r>
            <w:r w:rsidR="000B1B73" w:rsidRPr="00B74C8D">
              <w:rPr>
                <w:rFonts w:asciiTheme="majorHAnsi" w:hAnsiTheme="majorHAnsi"/>
                <w:sz w:val="22"/>
                <w:szCs w:val="22"/>
              </w:rPr>
              <w:t xml:space="preserve"> </w:t>
            </w:r>
            <w:r>
              <w:rPr>
                <w:rFonts w:asciiTheme="majorHAnsi" w:hAnsiTheme="majorHAnsi"/>
                <w:sz w:val="22"/>
                <w:szCs w:val="22"/>
              </w:rPr>
              <w:t xml:space="preserve">Diablo Canyon is </w:t>
            </w:r>
            <w:r w:rsidR="000B1B73" w:rsidRPr="00B74C8D">
              <w:rPr>
                <w:rFonts w:asciiTheme="majorHAnsi" w:hAnsiTheme="majorHAnsi"/>
                <w:sz w:val="22"/>
                <w:szCs w:val="22"/>
              </w:rPr>
              <w:t>not within the purview of the City of San Jose</w:t>
            </w:r>
            <w:r>
              <w:rPr>
                <w:rFonts w:asciiTheme="majorHAnsi" w:hAnsiTheme="majorHAnsi"/>
                <w:sz w:val="22"/>
                <w:szCs w:val="22"/>
              </w:rPr>
              <w:t>,</w:t>
            </w:r>
            <w:r w:rsidR="000B1B73" w:rsidRPr="00B74C8D">
              <w:rPr>
                <w:rFonts w:asciiTheme="majorHAnsi" w:hAnsiTheme="majorHAnsi"/>
                <w:sz w:val="22"/>
                <w:szCs w:val="22"/>
              </w:rPr>
              <w:t xml:space="preserve"> PG&amp;E’s application before the CPUC is to replace Diablo with efficiency, renewables, and storage, with no net GHG increase.</w:t>
            </w:r>
            <w:r w:rsidR="000B1B73" w:rsidRPr="00B74C8D">
              <w:rPr>
                <w:rStyle w:val="FootnoteReference"/>
                <w:rFonts w:asciiTheme="majorHAnsi" w:hAnsiTheme="majorHAnsi"/>
                <w:sz w:val="22"/>
                <w:szCs w:val="22"/>
              </w:rPr>
              <w:footnoteReference w:id="4"/>
            </w:r>
            <w:r w:rsidR="00A42D7F">
              <w:rPr>
                <w:rFonts w:asciiTheme="majorHAnsi" w:hAnsiTheme="majorHAnsi"/>
                <w:sz w:val="22"/>
                <w:szCs w:val="22"/>
              </w:rPr>
              <w:t xml:space="preserve"> </w:t>
            </w:r>
            <w:r w:rsidR="009C6765" w:rsidRPr="00DA2E50">
              <w:rPr>
                <w:rFonts w:asciiTheme="majorHAnsi" w:hAnsiTheme="majorHAnsi"/>
                <w:sz w:val="22"/>
                <w:szCs w:val="22"/>
              </w:rPr>
              <w:t xml:space="preserve">Update: </w:t>
            </w:r>
            <w:r w:rsidR="00A42D7F" w:rsidRPr="00DA2E50">
              <w:rPr>
                <w:rFonts w:asciiTheme="majorHAnsi" w:hAnsiTheme="majorHAnsi"/>
                <w:sz w:val="22"/>
                <w:szCs w:val="22"/>
              </w:rPr>
              <w:t>In March 2017, PG&amp;E retracted its request to replace Diablo with renewables</w:t>
            </w:r>
            <w:r w:rsidR="00057805" w:rsidRPr="00DA2E50">
              <w:rPr>
                <w:rFonts w:asciiTheme="majorHAnsi" w:hAnsiTheme="majorHAnsi"/>
                <w:sz w:val="22"/>
                <w:szCs w:val="22"/>
              </w:rPr>
              <w:t xml:space="preserve"> and storage, removing a risk of the imposition of </w:t>
            </w:r>
            <w:r w:rsidR="0053499D">
              <w:rPr>
                <w:rFonts w:asciiTheme="majorHAnsi" w:hAnsiTheme="majorHAnsi"/>
                <w:sz w:val="22"/>
                <w:szCs w:val="22"/>
              </w:rPr>
              <w:t>non-</w:t>
            </w:r>
            <w:r w:rsidR="00057805" w:rsidRPr="00DA2E50">
              <w:rPr>
                <w:rFonts w:asciiTheme="majorHAnsi" w:hAnsiTheme="majorHAnsi"/>
                <w:sz w:val="22"/>
                <w:szCs w:val="22"/>
              </w:rPr>
              <w:t>bypassable charges affecting all customers.</w:t>
            </w:r>
            <w:r w:rsidR="00A42D7F">
              <w:rPr>
                <w:rFonts w:asciiTheme="majorHAnsi" w:hAnsiTheme="majorHAnsi"/>
                <w:sz w:val="22"/>
                <w:szCs w:val="22"/>
              </w:rPr>
              <w:t xml:space="preserve"> </w:t>
            </w:r>
            <w:r w:rsidR="0053499D">
              <w:rPr>
                <w:rFonts w:asciiTheme="majorHAnsi" w:hAnsiTheme="majorHAnsi"/>
                <w:sz w:val="22"/>
                <w:szCs w:val="22"/>
              </w:rPr>
              <w:t>The bottom line is that there is no anticipated GHG increase from Diablo closure. There is ample time to plan to replace that power with Energy Efficiency and Renewable Energy.</w:t>
            </w:r>
          </w:p>
        </w:tc>
      </w:tr>
      <w:tr w:rsidR="000B1B73" w:rsidRPr="00EA38B1" w14:paraId="4303C84F" w14:textId="77777777" w:rsidTr="00DE033C">
        <w:tc>
          <w:tcPr>
            <w:tcW w:w="3317" w:type="dxa"/>
          </w:tcPr>
          <w:p w14:paraId="2277F38E" w14:textId="77777777" w:rsidR="000B1B73" w:rsidRPr="00B74C8D" w:rsidRDefault="000B1B73" w:rsidP="00007860">
            <w:pPr>
              <w:pStyle w:val="ListParagraph"/>
              <w:widowControl w:val="0"/>
              <w:numPr>
                <w:ilvl w:val="0"/>
                <w:numId w:val="3"/>
              </w:numPr>
              <w:autoSpaceDE w:val="0"/>
              <w:autoSpaceDN w:val="0"/>
              <w:adjustRightInd w:val="0"/>
              <w:rPr>
                <w:rFonts w:asciiTheme="majorHAnsi" w:hAnsiTheme="majorHAnsi" w:cs="Cambria"/>
                <w:color w:val="000000"/>
                <w:sz w:val="22"/>
                <w:szCs w:val="22"/>
              </w:rPr>
            </w:pPr>
            <w:r w:rsidRPr="00B74C8D">
              <w:rPr>
                <w:rFonts w:asciiTheme="majorHAnsi" w:hAnsiTheme="majorHAnsi" w:cs="Cambria"/>
                <w:color w:val="000000"/>
                <w:sz w:val="22"/>
                <w:szCs w:val="22"/>
              </w:rPr>
              <w:t xml:space="preserve">What does it mean to provide </w:t>
            </w:r>
            <w:r w:rsidRPr="002153A7">
              <w:rPr>
                <w:rFonts w:asciiTheme="majorHAnsi" w:hAnsiTheme="majorHAnsi" w:cs="Cambria"/>
                <w:color w:val="000000"/>
                <w:sz w:val="22"/>
                <w:szCs w:val="22"/>
              </w:rPr>
              <w:t>‘superior</w:t>
            </w:r>
            <w:r w:rsidRPr="00CB6B3C">
              <w:rPr>
                <w:rFonts w:asciiTheme="majorHAnsi" w:hAnsiTheme="majorHAnsi" w:cs="Cambria"/>
                <w:color w:val="000000"/>
                <w:sz w:val="22"/>
                <w:szCs w:val="22"/>
              </w:rPr>
              <w:t xml:space="preserve"> customer service</w:t>
            </w:r>
            <w:r w:rsidR="00B74C8D" w:rsidRPr="00CB6B3C">
              <w:rPr>
                <w:rFonts w:asciiTheme="majorHAnsi" w:hAnsiTheme="majorHAnsi" w:cs="Cambria"/>
                <w:color w:val="000000"/>
                <w:sz w:val="22"/>
                <w:szCs w:val="22"/>
              </w:rPr>
              <w:t>?</w:t>
            </w:r>
            <w:r w:rsidRPr="00B74C8D">
              <w:rPr>
                <w:rFonts w:asciiTheme="majorHAnsi" w:hAnsiTheme="majorHAnsi" w:cs="Cambria"/>
                <w:color w:val="000000"/>
                <w:sz w:val="22"/>
                <w:szCs w:val="22"/>
              </w:rPr>
              <w:t xml:space="preserve">’ How is PG&amp;E failing in this regard? </w:t>
            </w:r>
          </w:p>
          <w:p w14:paraId="6EC742E2" w14:textId="77777777" w:rsidR="000B1B73" w:rsidRPr="00B74C8D" w:rsidRDefault="000B1B73" w:rsidP="00007860">
            <w:pPr>
              <w:widowControl w:val="0"/>
              <w:autoSpaceDE w:val="0"/>
              <w:autoSpaceDN w:val="0"/>
              <w:adjustRightInd w:val="0"/>
              <w:ind w:left="360"/>
              <w:rPr>
                <w:rFonts w:asciiTheme="majorHAnsi" w:hAnsiTheme="majorHAnsi" w:cs="Cambria"/>
                <w:color w:val="000000"/>
                <w:sz w:val="22"/>
                <w:szCs w:val="22"/>
              </w:rPr>
            </w:pPr>
          </w:p>
        </w:tc>
        <w:tc>
          <w:tcPr>
            <w:tcW w:w="6259" w:type="dxa"/>
          </w:tcPr>
          <w:p w14:paraId="6D5DD00F" w14:textId="7E4C9729" w:rsidR="000B1B73" w:rsidRPr="00B74C8D" w:rsidRDefault="000B1B73" w:rsidP="00DE033C">
            <w:pPr>
              <w:rPr>
                <w:rFonts w:asciiTheme="majorHAnsi" w:hAnsiTheme="majorHAnsi"/>
                <w:sz w:val="22"/>
                <w:szCs w:val="22"/>
              </w:rPr>
            </w:pPr>
            <w:r w:rsidRPr="00B74C8D">
              <w:rPr>
                <w:rFonts w:asciiTheme="majorHAnsi" w:hAnsiTheme="majorHAnsi"/>
                <w:sz w:val="22"/>
                <w:szCs w:val="22"/>
              </w:rPr>
              <w:lastRenderedPageBreak/>
              <w:t>There can be many asp</w:t>
            </w:r>
            <w:r w:rsidR="00062151" w:rsidRPr="00B74C8D">
              <w:rPr>
                <w:rFonts w:asciiTheme="majorHAnsi" w:hAnsiTheme="majorHAnsi"/>
                <w:sz w:val="22"/>
                <w:szCs w:val="22"/>
              </w:rPr>
              <w:t>ects of superior public service such as increased consumer choice, lower rates, etc., but the chief difference is</w:t>
            </w:r>
            <w:r w:rsidRPr="00B74C8D">
              <w:rPr>
                <w:rFonts w:asciiTheme="majorHAnsi" w:hAnsiTheme="majorHAnsi"/>
                <w:sz w:val="22"/>
                <w:szCs w:val="22"/>
              </w:rPr>
              <w:t xml:space="preserve"> that a San Jose CCA would be a local, not-for-profit agency with greater public participation due to the fact that it will </w:t>
            </w:r>
            <w:r w:rsidRPr="00B74C8D">
              <w:rPr>
                <w:rFonts w:asciiTheme="majorHAnsi" w:hAnsiTheme="majorHAnsi"/>
                <w:sz w:val="22"/>
                <w:szCs w:val="22"/>
              </w:rPr>
              <w:lastRenderedPageBreak/>
              <w:t>be subject to the open meeting laws under the Ralph M. Brown Act.</w:t>
            </w:r>
            <w:r w:rsidRPr="00B74C8D">
              <w:rPr>
                <w:rStyle w:val="FootnoteReference"/>
                <w:rFonts w:asciiTheme="majorHAnsi" w:hAnsiTheme="majorHAnsi"/>
                <w:sz w:val="22"/>
                <w:szCs w:val="22"/>
              </w:rPr>
              <w:footnoteReference w:id="5"/>
            </w:r>
            <w:r w:rsidR="00A4155D">
              <w:rPr>
                <w:rFonts w:asciiTheme="majorHAnsi" w:hAnsiTheme="majorHAnsi"/>
                <w:sz w:val="22"/>
                <w:szCs w:val="22"/>
              </w:rPr>
              <w:t xml:space="preserve"> </w:t>
            </w:r>
            <w:r w:rsidR="00AB212A">
              <w:rPr>
                <w:rFonts w:asciiTheme="majorHAnsi" w:hAnsiTheme="majorHAnsi"/>
                <w:sz w:val="22"/>
                <w:szCs w:val="22"/>
              </w:rPr>
              <w:t>Also, see answer to Question 8</w:t>
            </w:r>
            <w:r w:rsidR="00A4155D" w:rsidRPr="002153A7">
              <w:rPr>
                <w:rFonts w:asciiTheme="majorHAnsi" w:hAnsiTheme="majorHAnsi"/>
                <w:sz w:val="22"/>
                <w:szCs w:val="22"/>
              </w:rPr>
              <w:t xml:space="preserve"> below.</w:t>
            </w:r>
          </w:p>
        </w:tc>
      </w:tr>
      <w:tr w:rsidR="000B1B73" w:rsidRPr="00EA38B1" w14:paraId="452F77E2" w14:textId="77777777" w:rsidTr="00DE033C">
        <w:tc>
          <w:tcPr>
            <w:tcW w:w="3317" w:type="dxa"/>
          </w:tcPr>
          <w:p w14:paraId="03285818" w14:textId="77777777" w:rsidR="000B1B73" w:rsidRPr="00B74C8D" w:rsidRDefault="000B1B73" w:rsidP="00B74C8D">
            <w:pPr>
              <w:pStyle w:val="ListParagraph"/>
              <w:widowControl w:val="0"/>
              <w:numPr>
                <w:ilvl w:val="0"/>
                <w:numId w:val="3"/>
              </w:numPr>
              <w:autoSpaceDE w:val="0"/>
              <w:autoSpaceDN w:val="0"/>
              <w:adjustRightInd w:val="0"/>
              <w:rPr>
                <w:rFonts w:asciiTheme="majorHAnsi" w:hAnsiTheme="majorHAnsi" w:cs="Cambria"/>
                <w:color w:val="000000"/>
                <w:sz w:val="22"/>
                <w:szCs w:val="22"/>
              </w:rPr>
            </w:pPr>
            <w:r w:rsidRPr="00B74C8D">
              <w:rPr>
                <w:rFonts w:asciiTheme="majorHAnsi" w:hAnsiTheme="majorHAnsi" w:cs="Cambria"/>
                <w:color w:val="000000"/>
                <w:sz w:val="22"/>
                <w:szCs w:val="22"/>
              </w:rPr>
              <w:lastRenderedPageBreak/>
              <w:t>How will the SJCE provi</w:t>
            </w:r>
            <w:r w:rsidR="00B74C8D">
              <w:rPr>
                <w:rFonts w:asciiTheme="majorHAnsi" w:hAnsiTheme="majorHAnsi" w:cs="Cambria"/>
                <w:color w:val="000000"/>
                <w:sz w:val="22"/>
                <w:szCs w:val="22"/>
              </w:rPr>
              <w:t>de ‘better products’ than PG&amp;E?</w:t>
            </w:r>
          </w:p>
        </w:tc>
        <w:tc>
          <w:tcPr>
            <w:tcW w:w="6259" w:type="dxa"/>
          </w:tcPr>
          <w:p w14:paraId="3DC83895" w14:textId="77777777" w:rsidR="000B1B73" w:rsidRPr="00B74C8D" w:rsidRDefault="00B74C8D" w:rsidP="00B74C8D">
            <w:pPr>
              <w:rPr>
                <w:rFonts w:asciiTheme="majorHAnsi" w:hAnsiTheme="majorHAnsi"/>
                <w:sz w:val="22"/>
                <w:szCs w:val="22"/>
              </w:rPr>
            </w:pPr>
            <w:r>
              <w:rPr>
                <w:rFonts w:asciiTheme="majorHAnsi" w:hAnsiTheme="majorHAnsi"/>
                <w:sz w:val="22"/>
                <w:szCs w:val="22"/>
              </w:rPr>
              <w:t>Existing CCAs have demonstrated how this works.</w:t>
            </w:r>
            <w:r w:rsidR="000B1B73" w:rsidRPr="00B74C8D">
              <w:rPr>
                <w:rFonts w:asciiTheme="majorHAnsi" w:hAnsiTheme="majorHAnsi"/>
                <w:sz w:val="22"/>
                <w:szCs w:val="22"/>
              </w:rPr>
              <w:t xml:space="preserve"> Examples include the higher power content default product, 100% renewable product, superior solar net-metering, feed-in tariffs, EV rebates and smart-charging programs. These are all products (or programs) tailored to th</w:t>
            </w:r>
            <w:r>
              <w:rPr>
                <w:rFonts w:asciiTheme="majorHAnsi" w:hAnsiTheme="majorHAnsi"/>
                <w:sz w:val="22"/>
                <w:szCs w:val="22"/>
              </w:rPr>
              <w:t>e needs of the local community.</w:t>
            </w:r>
          </w:p>
        </w:tc>
      </w:tr>
      <w:tr w:rsidR="000B1B73" w:rsidRPr="00EA38B1" w14:paraId="4C6D7B0B" w14:textId="77777777" w:rsidTr="00DE033C">
        <w:tc>
          <w:tcPr>
            <w:tcW w:w="3317" w:type="dxa"/>
          </w:tcPr>
          <w:p w14:paraId="4916FC15" w14:textId="77777777" w:rsidR="000B1B73" w:rsidRPr="00B74C8D" w:rsidRDefault="000B1B73" w:rsidP="00007860">
            <w:pPr>
              <w:pStyle w:val="ListParagraph"/>
              <w:widowControl w:val="0"/>
              <w:numPr>
                <w:ilvl w:val="0"/>
                <w:numId w:val="3"/>
              </w:numPr>
              <w:autoSpaceDE w:val="0"/>
              <w:autoSpaceDN w:val="0"/>
              <w:adjustRightInd w:val="0"/>
              <w:rPr>
                <w:rFonts w:asciiTheme="majorHAnsi" w:hAnsiTheme="majorHAnsi" w:cs="Cambria"/>
                <w:color w:val="000000"/>
                <w:sz w:val="22"/>
                <w:szCs w:val="22"/>
              </w:rPr>
            </w:pPr>
            <w:r w:rsidRPr="00B74C8D">
              <w:rPr>
                <w:rFonts w:asciiTheme="majorHAnsi" w:hAnsiTheme="majorHAnsi" w:cs="Cambria"/>
                <w:color w:val="000000"/>
                <w:sz w:val="22"/>
                <w:szCs w:val="22"/>
              </w:rPr>
              <w:t xml:space="preserve">The </w:t>
            </w:r>
            <w:r w:rsidR="00B74C8D">
              <w:rPr>
                <w:rFonts w:asciiTheme="majorHAnsi" w:hAnsiTheme="majorHAnsi" w:cs="Cambria"/>
                <w:color w:val="000000"/>
                <w:sz w:val="22"/>
                <w:szCs w:val="22"/>
              </w:rPr>
              <w:t xml:space="preserve">business </w:t>
            </w:r>
            <w:r w:rsidRPr="00B74C8D">
              <w:rPr>
                <w:rFonts w:asciiTheme="majorHAnsi" w:hAnsiTheme="majorHAnsi" w:cs="Cambria"/>
                <w:color w:val="000000"/>
                <w:sz w:val="22"/>
                <w:szCs w:val="22"/>
              </w:rPr>
              <w:t>plan assumes we will install local solar arrays. How much more pow</w:t>
            </w:r>
            <w:r w:rsidR="00572FF1" w:rsidRPr="00B74C8D">
              <w:rPr>
                <w:rFonts w:asciiTheme="majorHAnsi" w:hAnsiTheme="majorHAnsi" w:cs="Cambria"/>
                <w:color w:val="000000"/>
                <w:sz w:val="22"/>
                <w:szCs w:val="22"/>
              </w:rPr>
              <w:t>er will a solar array in the Moj</w:t>
            </w:r>
            <w:r w:rsidRPr="00B74C8D">
              <w:rPr>
                <w:rFonts w:asciiTheme="majorHAnsi" w:hAnsiTheme="majorHAnsi" w:cs="Cambria"/>
                <w:color w:val="000000"/>
                <w:sz w:val="22"/>
                <w:szCs w:val="22"/>
              </w:rPr>
              <w:t xml:space="preserve">ave produce than a similar one in San Jose? </w:t>
            </w:r>
          </w:p>
          <w:p w14:paraId="11D18973" w14:textId="77777777" w:rsidR="000B1B73" w:rsidRPr="00B74C8D" w:rsidRDefault="000B1B73" w:rsidP="00007860">
            <w:pPr>
              <w:widowControl w:val="0"/>
              <w:autoSpaceDE w:val="0"/>
              <w:autoSpaceDN w:val="0"/>
              <w:adjustRightInd w:val="0"/>
              <w:ind w:left="360"/>
              <w:rPr>
                <w:rFonts w:asciiTheme="majorHAnsi" w:hAnsiTheme="majorHAnsi" w:cs="Cambria"/>
                <w:color w:val="000000"/>
                <w:sz w:val="22"/>
                <w:szCs w:val="22"/>
              </w:rPr>
            </w:pPr>
          </w:p>
        </w:tc>
        <w:tc>
          <w:tcPr>
            <w:tcW w:w="6259" w:type="dxa"/>
          </w:tcPr>
          <w:p w14:paraId="2E92AFC2" w14:textId="413C85E3" w:rsidR="000B1B73" w:rsidRPr="00B74C8D" w:rsidRDefault="000B1B73" w:rsidP="00DA34B4">
            <w:pPr>
              <w:rPr>
                <w:rFonts w:asciiTheme="majorHAnsi" w:hAnsiTheme="majorHAnsi"/>
                <w:sz w:val="22"/>
                <w:szCs w:val="22"/>
              </w:rPr>
            </w:pPr>
            <w:r w:rsidRPr="00B74C8D">
              <w:rPr>
                <w:rFonts w:asciiTheme="majorHAnsi" w:hAnsiTheme="majorHAnsi"/>
                <w:sz w:val="22"/>
                <w:szCs w:val="22"/>
              </w:rPr>
              <w:t xml:space="preserve">Utility scale deployment of the kind in the Mojave Desert is not </w:t>
            </w:r>
            <w:r w:rsidR="00AB212A" w:rsidRPr="00253E5A">
              <w:rPr>
                <w:rFonts w:asciiTheme="majorHAnsi" w:hAnsiTheme="majorHAnsi"/>
                <w:sz w:val="22"/>
                <w:szCs w:val="22"/>
              </w:rPr>
              <w:t>likely</w:t>
            </w:r>
            <w:r w:rsidR="00AB212A">
              <w:rPr>
                <w:rFonts w:asciiTheme="majorHAnsi" w:hAnsiTheme="majorHAnsi"/>
                <w:sz w:val="22"/>
                <w:szCs w:val="22"/>
              </w:rPr>
              <w:t xml:space="preserve"> </w:t>
            </w:r>
            <w:r w:rsidRPr="00B74C8D">
              <w:rPr>
                <w:rFonts w:asciiTheme="majorHAnsi" w:hAnsiTheme="majorHAnsi"/>
                <w:sz w:val="22"/>
                <w:szCs w:val="22"/>
              </w:rPr>
              <w:t xml:space="preserve">within the city limits of San Jose. </w:t>
            </w:r>
            <w:r w:rsidR="00B239F7" w:rsidRPr="00253E5A">
              <w:rPr>
                <w:rFonts w:asciiTheme="majorHAnsi" w:hAnsiTheme="majorHAnsi"/>
                <w:sz w:val="22"/>
                <w:szCs w:val="22"/>
              </w:rPr>
              <w:t>It is possible</w:t>
            </w:r>
            <w:r w:rsidR="00DA34B4" w:rsidRPr="00253E5A">
              <w:rPr>
                <w:rFonts w:asciiTheme="majorHAnsi" w:hAnsiTheme="majorHAnsi"/>
                <w:sz w:val="22"/>
                <w:szCs w:val="22"/>
              </w:rPr>
              <w:t xml:space="preserve">, </w:t>
            </w:r>
            <w:r w:rsidR="00B239F7" w:rsidRPr="00253E5A">
              <w:rPr>
                <w:rFonts w:asciiTheme="majorHAnsi" w:hAnsiTheme="majorHAnsi"/>
                <w:sz w:val="22"/>
                <w:szCs w:val="22"/>
              </w:rPr>
              <w:t>however</w:t>
            </w:r>
            <w:r w:rsidR="00DA34B4" w:rsidRPr="00253E5A">
              <w:rPr>
                <w:rFonts w:asciiTheme="majorHAnsi" w:hAnsiTheme="majorHAnsi"/>
                <w:sz w:val="22"/>
                <w:szCs w:val="22"/>
              </w:rPr>
              <w:t>,</w:t>
            </w:r>
            <w:r w:rsidR="00B239F7" w:rsidRPr="00253E5A">
              <w:rPr>
                <w:rFonts w:asciiTheme="majorHAnsi" w:hAnsiTheme="majorHAnsi"/>
                <w:sz w:val="22"/>
                <w:szCs w:val="22"/>
              </w:rPr>
              <w:t xml:space="preserve"> to build “community-scale” local solar projects of 2 to 5 MW in San Jose.</w:t>
            </w:r>
            <w:r w:rsidR="00B239F7">
              <w:rPr>
                <w:rFonts w:asciiTheme="majorHAnsi" w:hAnsiTheme="majorHAnsi"/>
                <w:sz w:val="22"/>
                <w:szCs w:val="22"/>
              </w:rPr>
              <w:t xml:space="preserve"> </w:t>
            </w:r>
            <w:r w:rsidRPr="00B74C8D">
              <w:rPr>
                <w:rFonts w:asciiTheme="majorHAnsi" w:hAnsiTheme="majorHAnsi"/>
                <w:sz w:val="22"/>
                <w:szCs w:val="22"/>
              </w:rPr>
              <w:t>There are a number of pros &amp; cons relative to remote utility scale versus local, smaller-scale solar. Chief benefits of local solar are the avoided costs and inefficiencies of long distance transmission, and the economic benefits by constructing solar locally. Deploying solar in the built-environment avoids destruction of sensitive desert and other ecosystems.</w:t>
            </w:r>
          </w:p>
        </w:tc>
      </w:tr>
      <w:tr w:rsidR="000B1B73" w:rsidRPr="00EA38B1" w14:paraId="5F8D249F" w14:textId="77777777" w:rsidTr="00DE033C">
        <w:tc>
          <w:tcPr>
            <w:tcW w:w="3317" w:type="dxa"/>
          </w:tcPr>
          <w:p w14:paraId="1F163F79" w14:textId="1D0B4195" w:rsidR="000B1B73" w:rsidRPr="00B74C8D" w:rsidRDefault="000B1B73" w:rsidP="00007860">
            <w:pPr>
              <w:pStyle w:val="ListParagraph"/>
              <w:widowControl w:val="0"/>
              <w:numPr>
                <w:ilvl w:val="0"/>
                <w:numId w:val="3"/>
              </w:numPr>
              <w:autoSpaceDE w:val="0"/>
              <w:autoSpaceDN w:val="0"/>
              <w:adjustRightInd w:val="0"/>
              <w:rPr>
                <w:rFonts w:asciiTheme="majorHAnsi" w:hAnsiTheme="majorHAnsi" w:cs="Cambria"/>
                <w:color w:val="000000"/>
                <w:sz w:val="22"/>
                <w:szCs w:val="22"/>
              </w:rPr>
            </w:pPr>
            <w:r w:rsidRPr="00B74C8D">
              <w:rPr>
                <w:rFonts w:asciiTheme="majorHAnsi" w:hAnsiTheme="majorHAnsi" w:cs="Cambria"/>
                <w:color w:val="000000"/>
                <w:sz w:val="22"/>
                <w:szCs w:val="22"/>
              </w:rPr>
              <w:t>What will be the impact on power market prices when dozens of CCA</w:t>
            </w:r>
            <w:r w:rsidR="00B74C8D">
              <w:rPr>
                <w:rFonts w:asciiTheme="majorHAnsi" w:hAnsiTheme="majorHAnsi" w:cs="Cambria"/>
                <w:color w:val="000000"/>
                <w:sz w:val="22"/>
                <w:szCs w:val="22"/>
              </w:rPr>
              <w:t>s</w:t>
            </w:r>
            <w:r w:rsidRPr="00B74C8D">
              <w:rPr>
                <w:rFonts w:asciiTheme="majorHAnsi" w:hAnsiTheme="majorHAnsi" w:cs="Cambria"/>
                <w:color w:val="000000"/>
                <w:sz w:val="22"/>
                <w:szCs w:val="22"/>
              </w:rPr>
              <w:t xml:space="preserve"> exist in California? </w:t>
            </w:r>
            <w:r w:rsidRPr="00CB6B3C">
              <w:rPr>
                <w:rFonts w:asciiTheme="majorHAnsi" w:hAnsiTheme="majorHAnsi" w:cs="Cambria"/>
                <w:color w:val="000000"/>
                <w:sz w:val="22"/>
                <w:szCs w:val="22"/>
              </w:rPr>
              <w:t>Won’t we all be competing for the s</w:t>
            </w:r>
            <w:r w:rsidR="00CB6B3C">
              <w:rPr>
                <w:rFonts w:asciiTheme="majorHAnsi" w:hAnsiTheme="majorHAnsi" w:cs="Cambria"/>
                <w:color w:val="000000"/>
                <w:sz w:val="22"/>
                <w:szCs w:val="22"/>
              </w:rPr>
              <w:t>ame limited green power supplies</w:t>
            </w:r>
            <w:r w:rsidRPr="00B74C8D">
              <w:rPr>
                <w:rFonts w:asciiTheme="majorHAnsi" w:hAnsiTheme="majorHAnsi" w:cs="Cambria"/>
                <w:color w:val="000000"/>
                <w:sz w:val="22"/>
                <w:szCs w:val="22"/>
              </w:rPr>
              <w:t xml:space="preserve">? </w:t>
            </w:r>
          </w:p>
        </w:tc>
        <w:tc>
          <w:tcPr>
            <w:tcW w:w="6259" w:type="dxa"/>
          </w:tcPr>
          <w:p w14:paraId="338DBCB4" w14:textId="328ED335" w:rsidR="000B1B73" w:rsidRPr="00B74C8D" w:rsidRDefault="00A23E14" w:rsidP="001B7AB3">
            <w:pPr>
              <w:rPr>
                <w:rFonts w:asciiTheme="majorHAnsi" w:hAnsiTheme="majorHAnsi"/>
                <w:sz w:val="22"/>
                <w:szCs w:val="22"/>
              </w:rPr>
            </w:pPr>
            <w:r>
              <w:rPr>
                <w:rFonts w:asciiTheme="majorHAnsi" w:hAnsiTheme="majorHAnsi"/>
                <w:sz w:val="22"/>
                <w:szCs w:val="22"/>
              </w:rPr>
              <w:t xml:space="preserve">A high demand for green power is a good problem and leads to market transformation, such as California and other parts of the world are experiencing. </w:t>
            </w:r>
            <w:r w:rsidR="001B7AB3" w:rsidRPr="00253E5A">
              <w:rPr>
                <w:rFonts w:asciiTheme="majorHAnsi" w:hAnsiTheme="majorHAnsi"/>
                <w:sz w:val="22"/>
                <w:szCs w:val="22"/>
              </w:rPr>
              <w:t>Cost of renewables is on a long-term downward cost-trend, and more demand is very likely to stimulate more supply.</w:t>
            </w:r>
            <w:r w:rsidR="001B7AB3">
              <w:rPr>
                <w:rFonts w:asciiTheme="majorHAnsi" w:hAnsiTheme="majorHAnsi"/>
                <w:sz w:val="22"/>
                <w:szCs w:val="22"/>
              </w:rPr>
              <w:t xml:space="preserve"> </w:t>
            </w:r>
            <w:r>
              <w:rPr>
                <w:rFonts w:asciiTheme="majorHAnsi" w:hAnsiTheme="majorHAnsi"/>
                <w:sz w:val="22"/>
                <w:szCs w:val="22"/>
              </w:rPr>
              <w:t xml:space="preserve">So </w:t>
            </w:r>
            <w:r w:rsidR="000B1B73" w:rsidRPr="00B74C8D">
              <w:rPr>
                <w:rFonts w:asciiTheme="majorHAnsi" w:hAnsiTheme="majorHAnsi"/>
                <w:sz w:val="22"/>
                <w:szCs w:val="22"/>
              </w:rPr>
              <w:t xml:space="preserve">far CCA Requests for Bids for renewable power continue to </w:t>
            </w:r>
            <w:r>
              <w:rPr>
                <w:rFonts w:asciiTheme="majorHAnsi" w:hAnsiTheme="majorHAnsi"/>
                <w:sz w:val="22"/>
                <w:szCs w:val="22"/>
              </w:rPr>
              <w:t xml:space="preserve">exceed the </w:t>
            </w:r>
            <w:r w:rsidR="000B1B73" w:rsidRPr="00B74C8D">
              <w:rPr>
                <w:rFonts w:asciiTheme="majorHAnsi" w:hAnsiTheme="majorHAnsi"/>
                <w:sz w:val="22"/>
                <w:szCs w:val="22"/>
              </w:rPr>
              <w:t xml:space="preserve">megawatts </w:t>
            </w:r>
            <w:r>
              <w:rPr>
                <w:rFonts w:asciiTheme="majorHAnsi" w:hAnsiTheme="majorHAnsi"/>
                <w:sz w:val="22"/>
                <w:szCs w:val="22"/>
              </w:rPr>
              <w:t>requested.</w:t>
            </w:r>
            <w:r w:rsidR="001B7AB3">
              <w:rPr>
                <w:rFonts w:asciiTheme="majorHAnsi" w:hAnsiTheme="majorHAnsi"/>
                <w:sz w:val="22"/>
                <w:szCs w:val="22"/>
              </w:rPr>
              <w:t xml:space="preserve"> </w:t>
            </w:r>
            <w:r w:rsidR="00DA34B4" w:rsidRPr="00253E5A">
              <w:rPr>
                <w:rFonts w:asciiTheme="majorHAnsi" w:hAnsiTheme="majorHAnsi"/>
                <w:sz w:val="22"/>
                <w:szCs w:val="22"/>
              </w:rPr>
              <w:t>S</w:t>
            </w:r>
            <w:r w:rsidR="0053294A" w:rsidRPr="00253E5A">
              <w:rPr>
                <w:rFonts w:asciiTheme="majorHAnsi" w:hAnsiTheme="majorHAnsi"/>
                <w:sz w:val="22"/>
                <w:szCs w:val="22"/>
              </w:rPr>
              <w:t>olar developers are very responsive to the power needs of new CCAs. For example, a new 200 MW solar photovoltaic power plant is being built in Merced County to supply electricity to Peninsula Clean Energy. This is enough solar energy to power over 75,000 average California households.</w:t>
            </w:r>
            <w:r w:rsidR="001B7AB3">
              <w:rPr>
                <w:rFonts w:asciiTheme="majorHAnsi" w:hAnsiTheme="majorHAnsi"/>
                <w:sz w:val="22"/>
                <w:szCs w:val="22"/>
              </w:rPr>
              <w:t xml:space="preserve"> </w:t>
            </w:r>
            <w:r w:rsidR="001B7AB3" w:rsidRPr="00253E5A">
              <w:rPr>
                <w:rFonts w:asciiTheme="majorHAnsi" w:hAnsiTheme="majorHAnsi"/>
                <w:sz w:val="22"/>
                <w:szCs w:val="22"/>
              </w:rPr>
              <w:t>In addition</w:t>
            </w:r>
            <w:r w:rsidR="009B373F">
              <w:rPr>
                <w:rFonts w:asciiTheme="majorHAnsi" w:hAnsiTheme="majorHAnsi"/>
                <w:sz w:val="22"/>
                <w:szCs w:val="22"/>
              </w:rPr>
              <w:t>,</w:t>
            </w:r>
            <w:r w:rsidR="001B7AB3" w:rsidRPr="00253E5A">
              <w:rPr>
                <w:rFonts w:asciiTheme="majorHAnsi" w:hAnsiTheme="majorHAnsi"/>
                <w:sz w:val="22"/>
                <w:szCs w:val="22"/>
              </w:rPr>
              <w:t xml:space="preserve"> CCAs and IOUs are not necessarily competing for the same power supplies - CCAs will displace some of the power procurement from PG&amp;E (CCAs buy it, so PG&amp;E doesn't have to).</w:t>
            </w:r>
            <w:r w:rsidR="001B7AB3" w:rsidRPr="001B7AB3">
              <w:rPr>
                <w:rFonts w:asciiTheme="majorHAnsi" w:hAnsiTheme="majorHAnsi"/>
                <w:sz w:val="22"/>
                <w:szCs w:val="22"/>
              </w:rPr>
              <w:t> </w:t>
            </w:r>
          </w:p>
        </w:tc>
      </w:tr>
      <w:tr w:rsidR="000B1B73" w:rsidRPr="00EA38B1" w14:paraId="636C7E5A" w14:textId="77777777" w:rsidTr="0053294A">
        <w:trPr>
          <w:trHeight w:val="1088"/>
        </w:trPr>
        <w:tc>
          <w:tcPr>
            <w:tcW w:w="3317" w:type="dxa"/>
          </w:tcPr>
          <w:p w14:paraId="44C2E2CB" w14:textId="77777777" w:rsidR="000B1B73" w:rsidRPr="00B74C8D" w:rsidRDefault="000B1B73" w:rsidP="006276F0">
            <w:pPr>
              <w:pStyle w:val="ListParagraph"/>
              <w:widowControl w:val="0"/>
              <w:numPr>
                <w:ilvl w:val="0"/>
                <w:numId w:val="3"/>
              </w:numPr>
              <w:autoSpaceDE w:val="0"/>
              <w:autoSpaceDN w:val="0"/>
              <w:adjustRightInd w:val="0"/>
              <w:rPr>
                <w:rFonts w:asciiTheme="majorHAnsi" w:hAnsiTheme="majorHAnsi" w:cs="Cambria"/>
                <w:color w:val="000000"/>
                <w:sz w:val="22"/>
                <w:szCs w:val="22"/>
              </w:rPr>
            </w:pPr>
            <w:r w:rsidRPr="00B74C8D">
              <w:rPr>
                <w:rFonts w:asciiTheme="majorHAnsi" w:hAnsiTheme="majorHAnsi" w:cs="Cambria"/>
                <w:color w:val="000000"/>
                <w:sz w:val="22"/>
                <w:szCs w:val="22"/>
              </w:rPr>
              <w:t>The financial projections assume PG&amp;E rates will not change in the customer</w:t>
            </w:r>
            <w:r w:rsidR="00A23E14">
              <w:rPr>
                <w:rFonts w:asciiTheme="majorHAnsi" w:hAnsiTheme="majorHAnsi" w:cs="Cambria"/>
                <w:color w:val="000000"/>
                <w:sz w:val="22"/>
                <w:szCs w:val="22"/>
              </w:rPr>
              <w:t>’</w:t>
            </w:r>
            <w:r w:rsidRPr="00B74C8D">
              <w:rPr>
                <w:rFonts w:asciiTheme="majorHAnsi" w:hAnsiTheme="majorHAnsi" w:cs="Cambria"/>
                <w:color w:val="000000"/>
                <w:sz w:val="22"/>
                <w:szCs w:val="22"/>
              </w:rPr>
              <w:t xml:space="preserve">s favor at all. Is this realistic? </w:t>
            </w:r>
          </w:p>
        </w:tc>
        <w:tc>
          <w:tcPr>
            <w:tcW w:w="6259" w:type="dxa"/>
          </w:tcPr>
          <w:p w14:paraId="63B9BE2A" w14:textId="77777777" w:rsidR="000B1B73" w:rsidRDefault="00A23E14" w:rsidP="00A23E14">
            <w:pPr>
              <w:rPr>
                <w:rFonts w:asciiTheme="majorHAnsi" w:hAnsiTheme="majorHAnsi"/>
                <w:sz w:val="22"/>
                <w:szCs w:val="22"/>
              </w:rPr>
            </w:pPr>
            <w:r>
              <w:rPr>
                <w:rFonts w:asciiTheme="majorHAnsi" w:hAnsiTheme="majorHAnsi"/>
                <w:sz w:val="22"/>
                <w:szCs w:val="22"/>
              </w:rPr>
              <w:t>If past trends are an indicator, in the past</w:t>
            </w:r>
            <w:r w:rsidR="000B1B73" w:rsidRPr="00B74C8D">
              <w:rPr>
                <w:rFonts w:asciiTheme="majorHAnsi" w:hAnsiTheme="majorHAnsi"/>
                <w:sz w:val="22"/>
                <w:szCs w:val="22"/>
              </w:rPr>
              <w:t xml:space="preserve"> 30+ year</w:t>
            </w:r>
            <w:r>
              <w:rPr>
                <w:rFonts w:asciiTheme="majorHAnsi" w:hAnsiTheme="majorHAnsi"/>
                <w:sz w:val="22"/>
                <w:szCs w:val="22"/>
              </w:rPr>
              <w:t>s,</w:t>
            </w:r>
            <w:r w:rsidR="000B1B73" w:rsidRPr="00B74C8D">
              <w:rPr>
                <w:rFonts w:asciiTheme="majorHAnsi" w:hAnsiTheme="majorHAnsi"/>
                <w:sz w:val="22"/>
                <w:szCs w:val="22"/>
              </w:rPr>
              <w:t xml:space="preserve"> IOU electricity rates have gone up at a</w:t>
            </w:r>
            <w:r>
              <w:rPr>
                <w:rFonts w:asciiTheme="majorHAnsi" w:hAnsiTheme="majorHAnsi"/>
                <w:sz w:val="22"/>
                <w:szCs w:val="22"/>
              </w:rPr>
              <w:t xml:space="preserve">bout </w:t>
            </w:r>
            <w:r w:rsidR="000B1B73" w:rsidRPr="00B74C8D">
              <w:rPr>
                <w:rFonts w:asciiTheme="majorHAnsi" w:hAnsiTheme="majorHAnsi"/>
                <w:sz w:val="22"/>
                <w:szCs w:val="22"/>
              </w:rPr>
              <w:t>4 to 6% per year, depending on several factors.</w:t>
            </w:r>
          </w:p>
          <w:p w14:paraId="03836954" w14:textId="77777777" w:rsidR="009E0B0A" w:rsidRPr="00B74C8D" w:rsidRDefault="009E0B0A" w:rsidP="00A23E14">
            <w:pPr>
              <w:rPr>
                <w:rFonts w:asciiTheme="majorHAnsi" w:hAnsiTheme="majorHAnsi"/>
                <w:sz w:val="22"/>
                <w:szCs w:val="22"/>
              </w:rPr>
            </w:pPr>
          </w:p>
        </w:tc>
      </w:tr>
      <w:tr w:rsidR="009E0B0A" w:rsidRPr="00EA38B1" w14:paraId="2FE2252D" w14:textId="77777777" w:rsidTr="0053294A">
        <w:trPr>
          <w:trHeight w:val="1088"/>
        </w:trPr>
        <w:tc>
          <w:tcPr>
            <w:tcW w:w="3317" w:type="dxa"/>
          </w:tcPr>
          <w:p w14:paraId="60094F1C" w14:textId="03C8F5A1" w:rsidR="009E0B0A" w:rsidRPr="00B74C8D" w:rsidRDefault="009E0B0A" w:rsidP="006276F0">
            <w:pPr>
              <w:pStyle w:val="ListParagraph"/>
              <w:widowControl w:val="0"/>
              <w:numPr>
                <w:ilvl w:val="0"/>
                <w:numId w:val="3"/>
              </w:numPr>
              <w:autoSpaceDE w:val="0"/>
              <w:autoSpaceDN w:val="0"/>
              <w:adjustRightInd w:val="0"/>
              <w:rPr>
                <w:rFonts w:asciiTheme="majorHAnsi" w:hAnsiTheme="majorHAnsi" w:cs="Cambria"/>
                <w:color w:val="000000"/>
                <w:sz w:val="22"/>
                <w:szCs w:val="22"/>
              </w:rPr>
            </w:pPr>
            <w:r>
              <w:rPr>
                <w:rFonts w:asciiTheme="majorHAnsi" w:hAnsiTheme="majorHAnsi" w:cs="Cambria"/>
                <w:color w:val="000000"/>
                <w:sz w:val="22"/>
                <w:szCs w:val="22"/>
              </w:rPr>
              <w:t>How can the General Fund be protected</w:t>
            </w:r>
            <w:r w:rsidR="005C64F3">
              <w:rPr>
                <w:rFonts w:asciiTheme="majorHAnsi" w:hAnsiTheme="majorHAnsi" w:cs="Cambria"/>
                <w:color w:val="000000"/>
                <w:sz w:val="22"/>
                <w:szCs w:val="22"/>
              </w:rPr>
              <w:t xml:space="preserve"> in a single-jurisdiction model</w:t>
            </w:r>
            <w:r>
              <w:rPr>
                <w:rFonts w:asciiTheme="majorHAnsi" w:hAnsiTheme="majorHAnsi" w:cs="Cambria"/>
                <w:color w:val="000000"/>
                <w:sz w:val="22"/>
                <w:szCs w:val="22"/>
              </w:rPr>
              <w:t xml:space="preserve">? </w:t>
            </w:r>
          </w:p>
        </w:tc>
        <w:tc>
          <w:tcPr>
            <w:tcW w:w="6259" w:type="dxa"/>
          </w:tcPr>
          <w:p w14:paraId="210DEF32" w14:textId="6198BBCF" w:rsidR="009E0B0A" w:rsidRPr="009E0B0A" w:rsidRDefault="009E0B0A" w:rsidP="009E0B0A">
            <w:pPr>
              <w:rPr>
                <w:rFonts w:asciiTheme="majorHAnsi" w:hAnsiTheme="majorHAnsi"/>
                <w:sz w:val="22"/>
                <w:szCs w:val="22"/>
              </w:rPr>
            </w:pPr>
            <w:r>
              <w:rPr>
                <w:rFonts w:asciiTheme="majorHAnsi" w:hAnsiTheme="majorHAnsi"/>
                <w:sz w:val="22"/>
                <w:szCs w:val="22"/>
              </w:rPr>
              <w:t>W</w:t>
            </w:r>
            <w:r w:rsidRPr="009E0B0A">
              <w:rPr>
                <w:rFonts w:asciiTheme="majorHAnsi" w:hAnsiTheme="majorHAnsi"/>
                <w:sz w:val="22"/>
                <w:szCs w:val="22"/>
              </w:rPr>
              <w:t>e contacted an expert at Lancaster Choice Energy, a single jurisdiction CCA. Lancaster’s CCE model is the closest to the one that San Jose is considering. </w:t>
            </w:r>
          </w:p>
          <w:p w14:paraId="602CC082" w14:textId="1A30E5EA" w:rsidR="00927D32" w:rsidRDefault="009E0B0A" w:rsidP="009E0B0A">
            <w:pPr>
              <w:rPr>
                <w:rFonts w:asciiTheme="majorHAnsi" w:hAnsiTheme="majorHAnsi"/>
                <w:sz w:val="22"/>
                <w:szCs w:val="22"/>
              </w:rPr>
            </w:pPr>
            <w:r w:rsidRPr="009E0B0A">
              <w:rPr>
                <w:rFonts w:asciiTheme="majorHAnsi" w:hAnsiTheme="majorHAnsi"/>
                <w:sz w:val="22"/>
                <w:szCs w:val="22"/>
              </w:rPr>
              <w:t>The expert said the protections to the General Fund are primarily found in the terms of the contracts with the Energy Service Providers and other suppliers. </w:t>
            </w:r>
            <w:r w:rsidRPr="005C64F3">
              <w:rPr>
                <w:rFonts w:asciiTheme="majorHAnsi" w:hAnsiTheme="majorHAnsi"/>
                <w:bCs/>
                <w:sz w:val="22"/>
                <w:szCs w:val="22"/>
              </w:rPr>
              <w:t>Contracts are written with terms that explicitly allow recourse only to their Community Choice Energy Enterprise Fund and explicitly </w:t>
            </w:r>
            <w:r w:rsidRPr="005C64F3">
              <w:rPr>
                <w:rFonts w:asciiTheme="majorHAnsi" w:hAnsiTheme="majorHAnsi"/>
                <w:bCs/>
                <w:i/>
                <w:iCs/>
                <w:sz w:val="22"/>
                <w:szCs w:val="22"/>
                <w:u w:val="single"/>
              </w:rPr>
              <w:t>not</w:t>
            </w:r>
            <w:r w:rsidRPr="005C64F3">
              <w:rPr>
                <w:rFonts w:asciiTheme="majorHAnsi" w:hAnsiTheme="majorHAnsi"/>
                <w:bCs/>
                <w:sz w:val="22"/>
                <w:szCs w:val="22"/>
                <w:u w:val="single"/>
              </w:rPr>
              <w:t> </w:t>
            </w:r>
            <w:r w:rsidRPr="005C64F3">
              <w:rPr>
                <w:rFonts w:asciiTheme="majorHAnsi" w:hAnsiTheme="majorHAnsi"/>
                <w:bCs/>
                <w:sz w:val="22"/>
                <w:szCs w:val="22"/>
              </w:rPr>
              <w:t>the Lancaster General Fund</w:t>
            </w:r>
            <w:r w:rsidRPr="005C64F3">
              <w:rPr>
                <w:rFonts w:asciiTheme="majorHAnsi" w:hAnsiTheme="majorHAnsi"/>
                <w:sz w:val="22"/>
                <w:szCs w:val="22"/>
              </w:rPr>
              <w:t>.</w:t>
            </w:r>
            <w:r w:rsidRPr="009E0B0A">
              <w:rPr>
                <w:rFonts w:asciiTheme="majorHAnsi" w:hAnsiTheme="majorHAnsi"/>
                <w:sz w:val="22"/>
                <w:szCs w:val="22"/>
              </w:rPr>
              <w:t xml:space="preserve"> They also noted that CCA funds should never be deposited in the General Fund.</w:t>
            </w:r>
          </w:p>
        </w:tc>
      </w:tr>
      <w:tr w:rsidR="00A42D7F" w:rsidRPr="00EA38B1" w14:paraId="461B5CAF" w14:textId="77777777" w:rsidTr="000776F4">
        <w:trPr>
          <w:trHeight w:val="278"/>
        </w:trPr>
        <w:tc>
          <w:tcPr>
            <w:tcW w:w="3317" w:type="dxa"/>
          </w:tcPr>
          <w:p w14:paraId="65C8F4B7" w14:textId="0DCB6527" w:rsidR="00A42D7F" w:rsidRPr="00DA2E50" w:rsidRDefault="00A42D7F" w:rsidP="00C0262D">
            <w:pPr>
              <w:pStyle w:val="ListParagraph"/>
              <w:widowControl w:val="0"/>
              <w:numPr>
                <w:ilvl w:val="0"/>
                <w:numId w:val="3"/>
              </w:numPr>
              <w:autoSpaceDE w:val="0"/>
              <w:autoSpaceDN w:val="0"/>
              <w:adjustRightInd w:val="0"/>
              <w:rPr>
                <w:rFonts w:asciiTheme="majorHAnsi" w:hAnsiTheme="majorHAnsi" w:cs="Cambria"/>
                <w:color w:val="000000"/>
                <w:sz w:val="22"/>
                <w:szCs w:val="22"/>
              </w:rPr>
            </w:pPr>
            <w:r w:rsidRPr="00DA2E50">
              <w:rPr>
                <w:rFonts w:asciiTheme="majorHAnsi" w:hAnsiTheme="majorHAnsi" w:cs="Cambria"/>
                <w:color w:val="000000"/>
                <w:sz w:val="22"/>
                <w:szCs w:val="22"/>
              </w:rPr>
              <w:lastRenderedPageBreak/>
              <w:t xml:space="preserve">Does the volume of CCAs threaten PG&amp;E’s long term viability? Aren’t CCAs dependent on </w:t>
            </w:r>
            <w:r w:rsidR="00C0262D" w:rsidRPr="00DA2E50">
              <w:rPr>
                <w:rFonts w:asciiTheme="majorHAnsi" w:hAnsiTheme="majorHAnsi" w:cs="Cambria"/>
                <w:color w:val="000000"/>
                <w:sz w:val="22"/>
                <w:szCs w:val="22"/>
              </w:rPr>
              <w:t xml:space="preserve">PG&amp;E </w:t>
            </w:r>
            <w:r w:rsidRPr="00DA2E50">
              <w:rPr>
                <w:rFonts w:asciiTheme="majorHAnsi" w:hAnsiTheme="majorHAnsi" w:cs="Cambria"/>
                <w:color w:val="000000"/>
                <w:sz w:val="22"/>
                <w:szCs w:val="22"/>
              </w:rPr>
              <w:t>as a partner</w:t>
            </w:r>
            <w:r w:rsidR="000776F4" w:rsidRPr="00DA2E50">
              <w:rPr>
                <w:rFonts w:asciiTheme="majorHAnsi" w:hAnsiTheme="majorHAnsi" w:cs="Cambria"/>
                <w:color w:val="000000"/>
                <w:sz w:val="22"/>
                <w:szCs w:val="22"/>
              </w:rPr>
              <w:t xml:space="preserve"> to maintain and invest in </w:t>
            </w:r>
            <w:r w:rsidRPr="00DA2E50">
              <w:rPr>
                <w:rFonts w:asciiTheme="majorHAnsi" w:hAnsiTheme="majorHAnsi" w:cs="Cambria"/>
                <w:color w:val="000000"/>
                <w:sz w:val="22"/>
                <w:szCs w:val="22"/>
              </w:rPr>
              <w:t xml:space="preserve">Transmission and Distribution (T&amp;D)? </w:t>
            </w:r>
          </w:p>
        </w:tc>
        <w:tc>
          <w:tcPr>
            <w:tcW w:w="6259" w:type="dxa"/>
          </w:tcPr>
          <w:p w14:paraId="71D2B90E" w14:textId="1C3D33C6" w:rsidR="005C43EC" w:rsidRDefault="005C43EC" w:rsidP="005C43EC">
            <w:pPr>
              <w:rPr>
                <w:rFonts w:asciiTheme="majorHAnsi" w:hAnsiTheme="majorHAnsi" w:cs="Cambria"/>
                <w:color w:val="000000"/>
                <w:sz w:val="22"/>
                <w:szCs w:val="22"/>
              </w:rPr>
            </w:pPr>
            <w:r>
              <w:rPr>
                <w:rFonts w:asciiTheme="majorHAnsi" w:hAnsiTheme="majorHAnsi" w:cs="Cambria"/>
                <w:color w:val="000000"/>
                <w:sz w:val="22"/>
                <w:szCs w:val="22"/>
              </w:rPr>
              <w:t>The viability of PG&amp;E is not threatened by CCAs.</w:t>
            </w:r>
            <w:r w:rsidR="0053499D" w:rsidRPr="0053499D">
              <w:rPr>
                <w:rFonts w:asciiTheme="majorHAnsi" w:hAnsiTheme="majorHAnsi" w:cs="Cambria"/>
                <w:color w:val="000000"/>
                <w:sz w:val="22"/>
                <w:szCs w:val="22"/>
              </w:rPr>
              <w:t xml:space="preserve"> </w:t>
            </w:r>
            <w:r w:rsidR="00A42D7F" w:rsidRPr="00DA2E50">
              <w:rPr>
                <w:rFonts w:asciiTheme="majorHAnsi" w:hAnsiTheme="majorHAnsi" w:cs="Cambria"/>
                <w:color w:val="000000"/>
                <w:sz w:val="22"/>
                <w:szCs w:val="22"/>
              </w:rPr>
              <w:t xml:space="preserve">Per State law, PG&amp;E </w:t>
            </w:r>
            <w:r w:rsidR="0053499D">
              <w:rPr>
                <w:rFonts w:asciiTheme="majorHAnsi" w:hAnsiTheme="majorHAnsi" w:cs="Cambria"/>
                <w:color w:val="000000"/>
                <w:sz w:val="22"/>
                <w:szCs w:val="22"/>
              </w:rPr>
              <w:t>has a guaranteed return of 11%</w:t>
            </w:r>
            <w:r w:rsidR="00A42D7F" w:rsidRPr="00DA2E50">
              <w:rPr>
                <w:rFonts w:asciiTheme="majorHAnsi" w:hAnsiTheme="majorHAnsi" w:cs="Cambria"/>
                <w:color w:val="000000"/>
                <w:sz w:val="22"/>
                <w:szCs w:val="22"/>
              </w:rPr>
              <w:t xml:space="preserve"> on the transmission and distribution portion of the energy services bundle, not the energy procurement side. They have a vested interest in increasing the value of the T&amp;D assets and won't let those crumble to spite CCAs. The easiest path to growth, profit and long term viability for them is to focus their time and resources investing in smart grid technology and the evolution of grid assets, and we can clearly see that they're doing just that. </w:t>
            </w:r>
            <w:r w:rsidR="00C0262D" w:rsidRPr="00DA2E50">
              <w:rPr>
                <w:rFonts w:asciiTheme="majorHAnsi" w:hAnsiTheme="majorHAnsi" w:cs="Cambria"/>
                <w:color w:val="000000"/>
                <w:sz w:val="22"/>
                <w:szCs w:val="22"/>
              </w:rPr>
              <w:t xml:space="preserve">As the energy system in CA develops, PG&amp;E’s business model will </w:t>
            </w:r>
            <w:r w:rsidR="007D0A90" w:rsidRPr="00DA2E50">
              <w:rPr>
                <w:rFonts w:asciiTheme="majorHAnsi" w:hAnsiTheme="majorHAnsi" w:cs="Cambria"/>
                <w:color w:val="000000"/>
                <w:sz w:val="22"/>
                <w:szCs w:val="22"/>
              </w:rPr>
              <w:t xml:space="preserve">adapt </w:t>
            </w:r>
            <w:r w:rsidR="00C0262D" w:rsidRPr="00DA2E50">
              <w:rPr>
                <w:rFonts w:asciiTheme="majorHAnsi" w:hAnsiTheme="majorHAnsi" w:cs="Cambria"/>
                <w:color w:val="000000"/>
                <w:sz w:val="22"/>
                <w:szCs w:val="22"/>
              </w:rPr>
              <w:t xml:space="preserve">accordingly. </w:t>
            </w:r>
          </w:p>
          <w:p w14:paraId="6960EAC4" w14:textId="3C124F1D" w:rsidR="00A42D7F" w:rsidRPr="00DA2E50" w:rsidRDefault="005C43EC" w:rsidP="005C43EC">
            <w:r>
              <w:rPr>
                <w:rFonts w:asciiTheme="majorHAnsi" w:hAnsiTheme="majorHAnsi" w:cs="Cambria"/>
                <w:color w:val="000000"/>
                <w:sz w:val="22"/>
                <w:szCs w:val="22"/>
              </w:rPr>
              <w:t>Note:</w:t>
            </w:r>
            <w:r w:rsidRPr="0053499D">
              <w:rPr>
                <w:rFonts w:asciiTheme="majorHAnsi" w:hAnsiTheme="majorHAnsi" w:cs="Cambria"/>
                <w:color w:val="000000"/>
                <w:sz w:val="22"/>
                <w:szCs w:val="22"/>
              </w:rPr>
              <w:t xml:space="preserve"> Only about 30% of PG&amp;E’s generation is owned by PG&amp;E and that is diminishing further for reasons other than CCE.</w:t>
            </w:r>
          </w:p>
        </w:tc>
      </w:tr>
      <w:tr w:rsidR="00A42D7F" w:rsidRPr="00EA38B1" w14:paraId="42D6C414" w14:textId="77777777" w:rsidTr="0053294A">
        <w:trPr>
          <w:trHeight w:val="1088"/>
        </w:trPr>
        <w:tc>
          <w:tcPr>
            <w:tcW w:w="3317" w:type="dxa"/>
          </w:tcPr>
          <w:p w14:paraId="18E27260" w14:textId="29A81DB4" w:rsidR="00A42D7F" w:rsidRPr="00DA2E50" w:rsidRDefault="009B373F" w:rsidP="00A42D7F">
            <w:pPr>
              <w:pStyle w:val="ListParagraph"/>
              <w:widowControl w:val="0"/>
              <w:numPr>
                <w:ilvl w:val="0"/>
                <w:numId w:val="3"/>
              </w:numPr>
              <w:autoSpaceDE w:val="0"/>
              <w:autoSpaceDN w:val="0"/>
              <w:adjustRightInd w:val="0"/>
              <w:rPr>
                <w:rFonts w:asciiTheme="majorHAnsi" w:hAnsiTheme="majorHAnsi" w:cs="Cambria"/>
                <w:color w:val="000000"/>
                <w:sz w:val="22"/>
                <w:szCs w:val="22"/>
              </w:rPr>
            </w:pPr>
            <w:r>
              <w:rPr>
                <w:rFonts w:asciiTheme="majorHAnsi" w:hAnsiTheme="majorHAnsi" w:cs="Cambria"/>
                <w:color w:val="000000"/>
                <w:sz w:val="22"/>
                <w:szCs w:val="22"/>
              </w:rPr>
              <w:t xml:space="preserve">Since </w:t>
            </w:r>
            <w:r w:rsidR="005C43EC">
              <w:rPr>
                <w:rFonts w:asciiTheme="majorHAnsi" w:hAnsiTheme="majorHAnsi" w:cs="Cambria"/>
                <w:color w:val="000000"/>
                <w:sz w:val="22"/>
                <w:szCs w:val="22"/>
              </w:rPr>
              <w:t xml:space="preserve">it’s true that IOUs </w:t>
            </w:r>
            <w:r w:rsidR="00B52B8E">
              <w:rPr>
                <w:rFonts w:asciiTheme="majorHAnsi" w:hAnsiTheme="majorHAnsi" w:cs="Cambria"/>
                <w:color w:val="000000"/>
                <w:sz w:val="22"/>
                <w:szCs w:val="22"/>
              </w:rPr>
              <w:softHyphen/>
            </w:r>
            <w:r w:rsidR="00B52B8E">
              <w:rPr>
                <w:rFonts w:asciiTheme="majorHAnsi" w:hAnsiTheme="majorHAnsi" w:cs="Cambria"/>
                <w:color w:val="000000"/>
                <w:sz w:val="22"/>
                <w:szCs w:val="22"/>
              </w:rPr>
              <w:softHyphen/>
            </w:r>
            <w:r w:rsidR="00B52B8E">
              <w:rPr>
                <w:rFonts w:asciiTheme="majorHAnsi" w:hAnsiTheme="majorHAnsi" w:cs="Cambria"/>
                <w:color w:val="000000"/>
                <w:sz w:val="22"/>
                <w:szCs w:val="22"/>
              </w:rPr>
              <w:softHyphen/>
            </w:r>
            <w:r w:rsidR="00A42D7F" w:rsidRPr="00DA2E50">
              <w:rPr>
                <w:rFonts w:asciiTheme="majorHAnsi" w:hAnsiTheme="majorHAnsi" w:cs="Cambria"/>
                <w:color w:val="000000"/>
                <w:sz w:val="22"/>
                <w:szCs w:val="22"/>
              </w:rPr>
              <w:t>make their money on Transmission and Distribution (T&amp;D)</w:t>
            </w:r>
            <w:r>
              <w:rPr>
                <w:rFonts w:asciiTheme="majorHAnsi" w:hAnsiTheme="majorHAnsi" w:cs="Cambria"/>
                <w:color w:val="000000"/>
                <w:sz w:val="22"/>
                <w:szCs w:val="22"/>
              </w:rPr>
              <w:t>, why has PG&amp;E fought CCAs in the past</w:t>
            </w:r>
            <w:r w:rsidR="00A42D7F" w:rsidRPr="00DA2E50">
              <w:rPr>
                <w:rFonts w:asciiTheme="majorHAnsi" w:hAnsiTheme="majorHAnsi" w:cs="Cambria"/>
                <w:color w:val="000000"/>
                <w:sz w:val="22"/>
                <w:szCs w:val="22"/>
              </w:rPr>
              <w:t>?</w:t>
            </w:r>
          </w:p>
        </w:tc>
        <w:tc>
          <w:tcPr>
            <w:tcW w:w="6259" w:type="dxa"/>
          </w:tcPr>
          <w:p w14:paraId="424A98DA" w14:textId="4E82CA9E" w:rsidR="00057805" w:rsidRPr="00DA2E50" w:rsidRDefault="0053499D" w:rsidP="009B373F">
            <w:pPr>
              <w:rPr>
                <w:rFonts w:asciiTheme="majorHAnsi" w:hAnsiTheme="majorHAnsi" w:cs="Cambria"/>
                <w:color w:val="000000"/>
                <w:sz w:val="22"/>
                <w:szCs w:val="22"/>
              </w:rPr>
            </w:pPr>
            <w:r w:rsidRPr="0053499D">
              <w:rPr>
                <w:rFonts w:asciiTheme="majorHAnsi" w:hAnsiTheme="majorHAnsi" w:cs="Cambria"/>
                <w:color w:val="000000"/>
                <w:sz w:val="22"/>
                <w:szCs w:val="22"/>
              </w:rPr>
              <w:t xml:space="preserve">The IOUs have enjoyed monopoly status for over 100 years. They are unfamiliar with competition and want to avoid it. </w:t>
            </w:r>
            <w:r w:rsidR="00A42D7F" w:rsidRPr="00DA2E50">
              <w:rPr>
                <w:rFonts w:asciiTheme="majorHAnsi" w:hAnsiTheme="majorHAnsi" w:cs="Cambria"/>
                <w:color w:val="000000"/>
                <w:sz w:val="22"/>
                <w:szCs w:val="22"/>
              </w:rPr>
              <w:t>Although IOUs aren’t supposed to make money on energy procurement,</w:t>
            </w:r>
            <w:r w:rsidR="00C0262D" w:rsidRPr="00DA2E50">
              <w:rPr>
                <w:rFonts w:asciiTheme="majorHAnsi" w:hAnsiTheme="majorHAnsi" w:cs="Cambria"/>
                <w:color w:val="000000"/>
                <w:sz w:val="22"/>
                <w:szCs w:val="22"/>
              </w:rPr>
              <w:t xml:space="preserve"> it complicates their job and customer relationships to have CCA in the mix. </w:t>
            </w:r>
            <w:r w:rsidR="009B373F">
              <w:rPr>
                <w:rFonts w:asciiTheme="majorHAnsi" w:hAnsiTheme="majorHAnsi" w:cs="Cambria"/>
                <w:color w:val="000000"/>
                <w:sz w:val="22"/>
                <w:szCs w:val="22"/>
              </w:rPr>
              <w:t xml:space="preserve">It’s possible that </w:t>
            </w:r>
            <w:r w:rsidR="00C0262D" w:rsidRPr="00DA2E50">
              <w:rPr>
                <w:rFonts w:asciiTheme="majorHAnsi" w:hAnsiTheme="majorHAnsi" w:cs="Cambria"/>
                <w:color w:val="000000"/>
                <w:sz w:val="22"/>
                <w:szCs w:val="22"/>
              </w:rPr>
              <w:t xml:space="preserve">IOUs with both gas and electric businesses may fear that CCA opens the door to more fuel switching (from gas to electric in buildings) and that is the larger threat they may be hoping to minimize. </w:t>
            </w:r>
          </w:p>
        </w:tc>
      </w:tr>
      <w:tr w:rsidR="00057805" w:rsidRPr="00EA38B1" w14:paraId="6F298BEA" w14:textId="77777777" w:rsidTr="009B373F">
        <w:trPr>
          <w:trHeight w:val="638"/>
        </w:trPr>
        <w:tc>
          <w:tcPr>
            <w:tcW w:w="3317" w:type="dxa"/>
          </w:tcPr>
          <w:p w14:paraId="2921E08D" w14:textId="0AA3F947" w:rsidR="00057805" w:rsidRPr="00DA2E50" w:rsidRDefault="00057805" w:rsidP="009B373F">
            <w:pPr>
              <w:pStyle w:val="ListParagraph"/>
              <w:widowControl w:val="0"/>
              <w:numPr>
                <w:ilvl w:val="0"/>
                <w:numId w:val="3"/>
              </w:numPr>
              <w:autoSpaceDE w:val="0"/>
              <w:autoSpaceDN w:val="0"/>
              <w:adjustRightInd w:val="0"/>
              <w:rPr>
                <w:rFonts w:asciiTheme="majorHAnsi" w:hAnsiTheme="majorHAnsi" w:cs="Cambria"/>
                <w:color w:val="000000"/>
                <w:sz w:val="22"/>
                <w:szCs w:val="22"/>
              </w:rPr>
            </w:pPr>
            <w:r w:rsidRPr="00DA2E50">
              <w:rPr>
                <w:rFonts w:asciiTheme="majorHAnsi" w:hAnsiTheme="majorHAnsi"/>
                <w:sz w:val="22"/>
                <w:szCs w:val="22"/>
              </w:rPr>
              <w:t>What if PG&amp;E lowers their rates once their expensive long term contracts expire (5-10 yrs), undercutting CCA prices and enticing customers back to PG&amp;E?  Could</w:t>
            </w:r>
            <w:r w:rsidR="000776F4" w:rsidRPr="00DA2E50">
              <w:rPr>
                <w:rFonts w:asciiTheme="majorHAnsi" w:hAnsiTheme="majorHAnsi"/>
                <w:sz w:val="22"/>
                <w:szCs w:val="22"/>
              </w:rPr>
              <w:t xml:space="preserve"> they </w:t>
            </w:r>
            <w:r w:rsidRPr="00DA2E50">
              <w:rPr>
                <w:rFonts w:asciiTheme="majorHAnsi" w:hAnsiTheme="majorHAnsi"/>
                <w:sz w:val="22"/>
                <w:szCs w:val="22"/>
              </w:rPr>
              <w:t>“break” the CCAs?</w:t>
            </w:r>
          </w:p>
        </w:tc>
        <w:tc>
          <w:tcPr>
            <w:tcW w:w="6259" w:type="dxa"/>
          </w:tcPr>
          <w:p w14:paraId="74CD8613" w14:textId="33667ECD" w:rsidR="009B373F" w:rsidRPr="00DA2E50" w:rsidRDefault="009B373F" w:rsidP="009B373F">
            <w:pPr>
              <w:rPr>
                <w:rFonts w:asciiTheme="majorHAnsi" w:hAnsiTheme="majorHAnsi"/>
                <w:sz w:val="22"/>
                <w:szCs w:val="22"/>
              </w:rPr>
            </w:pPr>
            <w:r w:rsidRPr="00DA2E50">
              <w:rPr>
                <w:rFonts w:asciiTheme="majorHAnsi" w:hAnsiTheme="majorHAnsi"/>
                <w:sz w:val="22"/>
                <w:szCs w:val="22"/>
              </w:rPr>
              <w:t xml:space="preserve">This kind of </w:t>
            </w:r>
            <w:r>
              <w:rPr>
                <w:rFonts w:asciiTheme="majorHAnsi" w:hAnsiTheme="majorHAnsi"/>
                <w:sz w:val="22"/>
                <w:szCs w:val="22"/>
              </w:rPr>
              <w:t xml:space="preserve">competitive </w:t>
            </w:r>
            <w:r w:rsidRPr="00DA2E50">
              <w:rPr>
                <w:rFonts w:asciiTheme="majorHAnsi" w:hAnsiTheme="majorHAnsi"/>
                <w:sz w:val="22"/>
                <w:szCs w:val="22"/>
              </w:rPr>
              <w:t>dynamic is a benefit to customers. Without CCAs, PG&amp;E would not use the expiration of the expensive contracts as an opportunity to reduce rates.</w:t>
            </w:r>
          </w:p>
          <w:p w14:paraId="0B9D7A38" w14:textId="77777777" w:rsidR="009B373F" w:rsidRDefault="009B373F" w:rsidP="00DF327B">
            <w:pPr>
              <w:rPr>
                <w:rFonts w:asciiTheme="majorHAnsi" w:hAnsiTheme="majorHAnsi"/>
                <w:sz w:val="22"/>
                <w:szCs w:val="22"/>
              </w:rPr>
            </w:pPr>
          </w:p>
          <w:p w14:paraId="2DBCC040" w14:textId="53FA971C" w:rsidR="00241CB3" w:rsidRDefault="00A5404E" w:rsidP="00DF327B">
            <w:pPr>
              <w:rPr>
                <w:rFonts w:asciiTheme="majorHAnsi" w:hAnsiTheme="majorHAnsi"/>
                <w:sz w:val="22"/>
                <w:szCs w:val="22"/>
              </w:rPr>
            </w:pPr>
            <w:r>
              <w:rPr>
                <w:rFonts w:asciiTheme="majorHAnsi" w:hAnsiTheme="majorHAnsi"/>
                <w:sz w:val="22"/>
                <w:szCs w:val="22"/>
              </w:rPr>
              <w:t>Expiration of PG&amp;E’s long term contracts</w:t>
            </w:r>
            <w:r w:rsidR="00057805" w:rsidRPr="00DA2E50">
              <w:rPr>
                <w:rFonts w:asciiTheme="majorHAnsi" w:hAnsiTheme="majorHAnsi"/>
                <w:sz w:val="22"/>
                <w:szCs w:val="22"/>
              </w:rPr>
              <w:t xml:space="preserve"> is really not something </w:t>
            </w:r>
            <w:r w:rsidR="009B373F">
              <w:rPr>
                <w:rFonts w:asciiTheme="majorHAnsi" w:hAnsiTheme="majorHAnsi"/>
                <w:sz w:val="22"/>
                <w:szCs w:val="22"/>
              </w:rPr>
              <w:t xml:space="preserve">for CCAs </w:t>
            </w:r>
            <w:r w:rsidR="00057805" w:rsidRPr="00DA2E50">
              <w:rPr>
                <w:rFonts w:asciiTheme="majorHAnsi" w:hAnsiTheme="majorHAnsi"/>
                <w:sz w:val="22"/>
                <w:szCs w:val="22"/>
              </w:rPr>
              <w:t>to be concerned about. These contracts are staggered</w:t>
            </w:r>
            <w:r w:rsidR="000F4418" w:rsidRPr="00DA2E50">
              <w:rPr>
                <w:rFonts w:asciiTheme="majorHAnsi" w:hAnsiTheme="majorHAnsi"/>
                <w:sz w:val="22"/>
                <w:szCs w:val="22"/>
              </w:rPr>
              <w:t xml:space="preserve"> -</w:t>
            </w:r>
            <w:r w:rsidR="00057805" w:rsidRPr="00DA2E50">
              <w:rPr>
                <w:rFonts w:asciiTheme="majorHAnsi" w:hAnsiTheme="majorHAnsi"/>
                <w:sz w:val="22"/>
                <w:szCs w:val="22"/>
              </w:rPr>
              <w:t xml:space="preserve"> there will be lead time that will allow the CCAs to adjust their own portfolios and rates accordingly, if needed. Also, sunsetting of above market contracts for renewables that the IOUs got into between ~2002 and ~2010, should feature a commensurate sunsetting of the </w:t>
            </w:r>
            <w:r>
              <w:rPr>
                <w:rFonts w:asciiTheme="majorHAnsi" w:hAnsiTheme="majorHAnsi"/>
                <w:sz w:val="22"/>
                <w:szCs w:val="22"/>
              </w:rPr>
              <w:t>Power Charge Indifference Adjustment (</w:t>
            </w:r>
            <w:r w:rsidR="00057805" w:rsidRPr="00DA2E50">
              <w:rPr>
                <w:rFonts w:asciiTheme="majorHAnsi" w:hAnsiTheme="majorHAnsi"/>
                <w:sz w:val="22"/>
                <w:szCs w:val="22"/>
              </w:rPr>
              <w:t>PCIA</w:t>
            </w:r>
            <w:r>
              <w:rPr>
                <w:rFonts w:asciiTheme="majorHAnsi" w:hAnsiTheme="majorHAnsi"/>
                <w:sz w:val="22"/>
                <w:szCs w:val="22"/>
              </w:rPr>
              <w:t>) charged to CCA</w:t>
            </w:r>
            <w:r w:rsidR="00057805" w:rsidRPr="00DA2E50">
              <w:rPr>
                <w:rFonts w:asciiTheme="majorHAnsi" w:hAnsiTheme="majorHAnsi"/>
                <w:sz w:val="22"/>
                <w:szCs w:val="22"/>
              </w:rPr>
              <w:t xml:space="preserve"> customers, thereby rendering the expiration of those contracts a non-advantage to PG&amp;E. Power is purchased by CCAs and the IOUs in the same open, competitive market. As it stands now, the IOUs in CA have an oversupply and are not currently bidding in the market for more power, and it’s unlikely that PG&amp;E could purchase energy for less than CCAs, who can band together for joint purchasing.</w:t>
            </w:r>
          </w:p>
          <w:p w14:paraId="20559C88" w14:textId="77777777" w:rsidR="009B373F" w:rsidRDefault="009B373F" w:rsidP="00DF327B">
            <w:pPr>
              <w:rPr>
                <w:rFonts w:asciiTheme="majorHAnsi" w:hAnsiTheme="majorHAnsi"/>
                <w:sz w:val="22"/>
                <w:szCs w:val="22"/>
              </w:rPr>
            </w:pPr>
          </w:p>
          <w:p w14:paraId="13B057EB" w14:textId="5866E6FC" w:rsidR="00057805" w:rsidRPr="00DA2E50" w:rsidRDefault="000F4418" w:rsidP="009B373F">
            <w:pPr>
              <w:rPr>
                <w:rFonts w:asciiTheme="majorHAnsi" w:hAnsiTheme="majorHAnsi" w:cs="Cambria"/>
                <w:color w:val="000000"/>
                <w:sz w:val="22"/>
                <w:szCs w:val="22"/>
              </w:rPr>
            </w:pPr>
            <w:r w:rsidRPr="00DA2E50">
              <w:rPr>
                <w:rFonts w:asciiTheme="majorHAnsi" w:hAnsiTheme="majorHAnsi"/>
                <w:sz w:val="22"/>
                <w:szCs w:val="22"/>
              </w:rPr>
              <w:t xml:space="preserve">While </w:t>
            </w:r>
            <w:r w:rsidR="00057805" w:rsidRPr="00DA2E50">
              <w:rPr>
                <w:rFonts w:asciiTheme="majorHAnsi" w:hAnsiTheme="majorHAnsi"/>
                <w:sz w:val="22"/>
                <w:szCs w:val="22"/>
              </w:rPr>
              <w:t>PG&amp;E may still try to undercut CCA rates - CCA</w:t>
            </w:r>
            <w:r w:rsidR="00241CB3" w:rsidRPr="00DA2E50">
              <w:rPr>
                <w:rFonts w:asciiTheme="majorHAnsi" w:hAnsiTheme="majorHAnsi"/>
                <w:sz w:val="22"/>
                <w:szCs w:val="22"/>
              </w:rPr>
              <w:t>s have</w:t>
            </w:r>
            <w:r w:rsidR="00057805" w:rsidRPr="00DA2E50">
              <w:rPr>
                <w:rFonts w:asciiTheme="majorHAnsi" w:hAnsiTheme="majorHAnsi"/>
                <w:sz w:val="22"/>
                <w:szCs w:val="22"/>
              </w:rPr>
              <w:t xml:space="preserve"> a number of inherent advantages that can enable them to navigate any rate reductions. These include: </w:t>
            </w:r>
            <w:r w:rsidRPr="00DA2E50">
              <w:rPr>
                <w:rFonts w:asciiTheme="majorHAnsi" w:hAnsiTheme="majorHAnsi"/>
                <w:sz w:val="22"/>
                <w:szCs w:val="22"/>
              </w:rPr>
              <w:t xml:space="preserve">Public agencies </w:t>
            </w:r>
            <w:r w:rsidR="00057805" w:rsidRPr="00DA2E50">
              <w:rPr>
                <w:rFonts w:asciiTheme="majorHAnsi" w:hAnsiTheme="majorHAnsi"/>
                <w:sz w:val="22"/>
                <w:szCs w:val="22"/>
              </w:rPr>
              <w:t>have access to lower-cost capital for purchases or new power project development;  CCAs are smaller, low-overhead, not-for-profit</w:t>
            </w:r>
            <w:r w:rsidRPr="00DA2E50">
              <w:rPr>
                <w:rFonts w:asciiTheme="majorHAnsi" w:hAnsiTheme="majorHAnsi"/>
                <w:sz w:val="22"/>
                <w:szCs w:val="22"/>
              </w:rPr>
              <w:t xml:space="preserve"> organizations, and </w:t>
            </w:r>
            <w:r w:rsidR="00057805" w:rsidRPr="00DA2E50">
              <w:rPr>
                <w:rFonts w:asciiTheme="majorHAnsi" w:hAnsiTheme="majorHAnsi"/>
                <w:sz w:val="22"/>
                <w:szCs w:val="22"/>
              </w:rPr>
              <w:t>operational costs will be lower than for PG&amp;E; The pro</w:t>
            </w:r>
            <w:r w:rsidR="00A5404E">
              <w:rPr>
                <w:rFonts w:asciiTheme="majorHAnsi" w:hAnsiTheme="majorHAnsi"/>
                <w:sz w:val="22"/>
                <w:szCs w:val="22"/>
              </w:rPr>
              <w:t>cess of adjusting rates in a CCA</w:t>
            </w:r>
            <w:r w:rsidR="00057805" w:rsidRPr="00DA2E50">
              <w:rPr>
                <w:rFonts w:asciiTheme="majorHAnsi" w:hAnsiTheme="majorHAnsi"/>
                <w:sz w:val="22"/>
                <w:szCs w:val="22"/>
              </w:rPr>
              <w:t xml:space="preserve"> context is far less complex tha</w:t>
            </w:r>
            <w:r w:rsidR="00A5404E">
              <w:rPr>
                <w:rFonts w:asciiTheme="majorHAnsi" w:hAnsiTheme="majorHAnsi"/>
                <w:sz w:val="22"/>
                <w:szCs w:val="22"/>
              </w:rPr>
              <w:t>n in the CPUC/IOU context. A CCA</w:t>
            </w:r>
            <w:r w:rsidR="00057805" w:rsidRPr="00DA2E50">
              <w:rPr>
                <w:rFonts w:asciiTheme="majorHAnsi" w:hAnsiTheme="majorHAnsi"/>
                <w:sz w:val="22"/>
                <w:szCs w:val="22"/>
              </w:rPr>
              <w:t xml:space="preserve"> can </w:t>
            </w:r>
            <w:r w:rsidRPr="00DA2E50">
              <w:rPr>
                <w:rFonts w:asciiTheme="majorHAnsi" w:hAnsiTheme="majorHAnsi"/>
                <w:sz w:val="22"/>
                <w:szCs w:val="22"/>
              </w:rPr>
              <w:t xml:space="preserve">utilize reserves to </w:t>
            </w:r>
            <w:r w:rsidR="00057805" w:rsidRPr="00DA2E50">
              <w:rPr>
                <w:rFonts w:asciiTheme="majorHAnsi" w:hAnsiTheme="majorHAnsi"/>
                <w:sz w:val="22"/>
                <w:szCs w:val="22"/>
              </w:rPr>
              <w:t xml:space="preserve">quickly </w:t>
            </w:r>
            <w:r w:rsidR="00057805" w:rsidRPr="00DA2E50">
              <w:rPr>
                <w:rFonts w:asciiTheme="majorHAnsi" w:hAnsiTheme="majorHAnsi"/>
                <w:sz w:val="22"/>
                <w:szCs w:val="22"/>
              </w:rPr>
              <w:lastRenderedPageBreak/>
              <w:t xml:space="preserve">adjust rates downward to stay competitive if </w:t>
            </w:r>
            <w:r w:rsidRPr="00DA2E50">
              <w:rPr>
                <w:rFonts w:asciiTheme="majorHAnsi" w:hAnsiTheme="majorHAnsi"/>
                <w:sz w:val="22"/>
                <w:szCs w:val="22"/>
              </w:rPr>
              <w:t xml:space="preserve">it appears customers are opting out, but CCAs have not seen </w:t>
            </w:r>
            <w:r w:rsidR="009B373F">
              <w:rPr>
                <w:rFonts w:asciiTheme="majorHAnsi" w:hAnsiTheme="majorHAnsi"/>
                <w:sz w:val="22"/>
                <w:szCs w:val="22"/>
              </w:rPr>
              <w:t>a problem with customers departing</w:t>
            </w:r>
            <w:r w:rsidRPr="00DA2E50">
              <w:rPr>
                <w:rFonts w:asciiTheme="majorHAnsi" w:hAnsiTheme="majorHAnsi"/>
                <w:sz w:val="22"/>
                <w:szCs w:val="22"/>
              </w:rPr>
              <w:t xml:space="preserve"> even in times when rates were temporarily higher.  </w:t>
            </w:r>
          </w:p>
        </w:tc>
      </w:tr>
      <w:tr w:rsidR="007B4BE5" w:rsidRPr="00EA38B1" w14:paraId="1298E736" w14:textId="77777777" w:rsidTr="00C35C95">
        <w:trPr>
          <w:trHeight w:val="4508"/>
        </w:trPr>
        <w:tc>
          <w:tcPr>
            <w:tcW w:w="3317" w:type="dxa"/>
          </w:tcPr>
          <w:p w14:paraId="4127EFA8" w14:textId="199F97E1" w:rsidR="007B4BE5" w:rsidRPr="00DA2E50" w:rsidRDefault="007B4BE5" w:rsidP="007B4BE5">
            <w:pPr>
              <w:pStyle w:val="ListParagraph"/>
              <w:widowControl w:val="0"/>
              <w:numPr>
                <w:ilvl w:val="0"/>
                <w:numId w:val="3"/>
              </w:numPr>
              <w:autoSpaceDE w:val="0"/>
              <w:autoSpaceDN w:val="0"/>
              <w:adjustRightInd w:val="0"/>
              <w:rPr>
                <w:rFonts w:asciiTheme="majorHAnsi" w:hAnsiTheme="majorHAnsi"/>
                <w:sz w:val="22"/>
                <w:szCs w:val="22"/>
              </w:rPr>
            </w:pPr>
            <w:r>
              <w:rPr>
                <w:rFonts w:asciiTheme="majorHAnsi" w:hAnsiTheme="majorHAnsi"/>
                <w:sz w:val="22"/>
                <w:szCs w:val="22"/>
              </w:rPr>
              <w:lastRenderedPageBreak/>
              <w:t xml:space="preserve">Should Cities even be involved in programs to buy and sell electricity?  </w:t>
            </w:r>
          </w:p>
        </w:tc>
        <w:tc>
          <w:tcPr>
            <w:tcW w:w="6259" w:type="dxa"/>
          </w:tcPr>
          <w:p w14:paraId="562C1BFB" w14:textId="4114CEC4" w:rsidR="007B4BE5" w:rsidRDefault="007B4BE5" w:rsidP="007B4BE5">
            <w:pPr>
              <w:rPr>
                <w:rFonts w:asciiTheme="majorHAnsi" w:hAnsiTheme="majorHAnsi"/>
                <w:sz w:val="22"/>
                <w:szCs w:val="22"/>
              </w:rPr>
            </w:pPr>
            <w:r>
              <w:rPr>
                <w:rFonts w:asciiTheme="majorHAnsi" w:hAnsiTheme="majorHAnsi"/>
                <w:sz w:val="22"/>
                <w:szCs w:val="22"/>
              </w:rPr>
              <w:t xml:space="preserve">A strong case can be made for *yes*. </w:t>
            </w:r>
            <w:r w:rsidRPr="007B4BE5">
              <w:rPr>
                <w:rFonts w:asciiTheme="majorHAnsi" w:hAnsiTheme="majorHAnsi"/>
                <w:sz w:val="22"/>
                <w:szCs w:val="22"/>
              </w:rPr>
              <w:t>In the US, we have a mix of electricity systems in place: regulated monopoly utilities (like PG&amp;E), public municipal utilities (like Silicon Valley Power, and LADWP), and a small numbe</w:t>
            </w:r>
            <w:r w:rsidR="009B373F">
              <w:rPr>
                <w:rFonts w:asciiTheme="majorHAnsi" w:hAnsiTheme="majorHAnsi"/>
                <w:sz w:val="22"/>
                <w:szCs w:val="22"/>
              </w:rPr>
              <w:t>r of fully deregulated states. Even p</w:t>
            </w:r>
            <w:r w:rsidRPr="007B4BE5">
              <w:rPr>
                <w:rFonts w:asciiTheme="majorHAnsi" w:hAnsiTheme="majorHAnsi"/>
                <w:sz w:val="22"/>
                <w:szCs w:val="22"/>
              </w:rPr>
              <w:t>rior to Community Choice, about 25% of Californians were served by public utilities – cities that decided to invest in fully managing their own energy systems, saving significant money on electricity, but generally not focusing on clean energy. Community Choice Aggregation programs are a hybrid model proving that even more cities see value in getting involved in the energy procurement side of the equation</w:t>
            </w:r>
            <w:r>
              <w:rPr>
                <w:rFonts w:asciiTheme="majorHAnsi" w:hAnsiTheme="majorHAnsi"/>
                <w:sz w:val="22"/>
                <w:szCs w:val="22"/>
              </w:rPr>
              <w:t>.</w:t>
            </w:r>
          </w:p>
          <w:p w14:paraId="431FCFF1" w14:textId="57834704" w:rsidR="007B4BE5" w:rsidRPr="007B4BE5" w:rsidRDefault="007B4BE5" w:rsidP="007B4BE5">
            <w:pPr>
              <w:rPr>
                <w:rFonts w:asciiTheme="majorHAnsi" w:hAnsiTheme="majorHAnsi"/>
                <w:sz w:val="22"/>
                <w:szCs w:val="22"/>
              </w:rPr>
            </w:pPr>
            <w:r>
              <w:rPr>
                <w:rFonts w:asciiTheme="majorHAnsi" w:hAnsiTheme="majorHAnsi"/>
                <w:sz w:val="22"/>
                <w:szCs w:val="22"/>
              </w:rPr>
              <w:t xml:space="preserve">Cities </w:t>
            </w:r>
            <w:r w:rsidRPr="007B4BE5">
              <w:rPr>
                <w:rFonts w:asciiTheme="majorHAnsi" w:hAnsiTheme="majorHAnsi"/>
                <w:sz w:val="22"/>
                <w:szCs w:val="22"/>
              </w:rPr>
              <w:t>enter the energy space via CCAs because they are the best opportunity to:</w:t>
            </w:r>
          </w:p>
          <w:p w14:paraId="36793601" w14:textId="77777777" w:rsidR="007B4BE5" w:rsidRPr="007B4BE5" w:rsidRDefault="007B4BE5" w:rsidP="00C35C95">
            <w:pPr>
              <w:pStyle w:val="ListParagraph"/>
              <w:numPr>
                <w:ilvl w:val="0"/>
                <w:numId w:val="4"/>
              </w:numPr>
              <w:spacing w:after="200"/>
              <w:rPr>
                <w:rFonts w:asciiTheme="majorHAnsi" w:hAnsiTheme="majorHAnsi"/>
                <w:sz w:val="22"/>
                <w:szCs w:val="22"/>
              </w:rPr>
            </w:pPr>
            <w:r w:rsidRPr="007B4BE5">
              <w:rPr>
                <w:rFonts w:asciiTheme="majorHAnsi" w:hAnsiTheme="majorHAnsi"/>
                <w:sz w:val="22"/>
                <w:szCs w:val="22"/>
              </w:rPr>
              <w:t>Reduce GHG emissions by transitioning the whole community to clean energy, with no behavior changes needed</w:t>
            </w:r>
          </w:p>
          <w:p w14:paraId="257EA203" w14:textId="77777777" w:rsidR="00C35C95" w:rsidRDefault="007B4BE5" w:rsidP="007B4BE5">
            <w:pPr>
              <w:pStyle w:val="ListParagraph"/>
              <w:numPr>
                <w:ilvl w:val="0"/>
                <w:numId w:val="4"/>
              </w:numPr>
              <w:spacing w:after="200"/>
              <w:rPr>
                <w:rFonts w:asciiTheme="majorHAnsi" w:hAnsiTheme="majorHAnsi"/>
                <w:sz w:val="22"/>
                <w:szCs w:val="22"/>
              </w:rPr>
            </w:pPr>
            <w:r>
              <w:rPr>
                <w:rFonts w:asciiTheme="majorHAnsi" w:hAnsiTheme="majorHAnsi"/>
                <w:sz w:val="22"/>
                <w:szCs w:val="22"/>
              </w:rPr>
              <w:t>And at the same time</w:t>
            </w:r>
            <w:r w:rsidRPr="007B4BE5">
              <w:rPr>
                <w:rFonts w:asciiTheme="majorHAnsi" w:hAnsiTheme="majorHAnsi"/>
                <w:sz w:val="22"/>
                <w:szCs w:val="22"/>
              </w:rPr>
              <w:t>, keep surplus revenues local to fund local priorities.</w:t>
            </w:r>
          </w:p>
          <w:p w14:paraId="3421DFF1" w14:textId="061A0896" w:rsidR="007B4BE5" w:rsidRPr="00C35C95" w:rsidRDefault="007B4BE5" w:rsidP="00C35C95">
            <w:pPr>
              <w:spacing w:after="200"/>
              <w:rPr>
                <w:rFonts w:asciiTheme="majorHAnsi" w:hAnsiTheme="majorHAnsi"/>
                <w:sz w:val="22"/>
                <w:szCs w:val="22"/>
              </w:rPr>
            </w:pPr>
            <w:r w:rsidRPr="00C35C95">
              <w:rPr>
                <w:rFonts w:asciiTheme="majorHAnsi" w:hAnsiTheme="majorHAnsi"/>
                <w:sz w:val="22"/>
                <w:szCs w:val="22"/>
              </w:rPr>
              <w:t xml:space="preserve">Cities in California make commitments to reduce energy use, and reduce GHG emissions in line with state level commitments. They’re uniquely situated to impact results because they have special knowledge of their community’s needs, and local control over land use decisions, planning and permitting. Cities that have implemented Community Choice Aggregation (CCA/CCE) programs are convinced that it is the best tool available to make major strides toward their goals, which have proven very difficult and expensive to-date. </w:t>
            </w:r>
          </w:p>
        </w:tc>
      </w:tr>
    </w:tbl>
    <w:p w14:paraId="6A0F94B5" w14:textId="77777777" w:rsidR="00A25A93" w:rsidRPr="00EA38B1" w:rsidRDefault="00A25A93">
      <w:pPr>
        <w:rPr>
          <w:rFonts w:asciiTheme="majorHAnsi" w:hAnsiTheme="majorHAnsi"/>
        </w:rPr>
      </w:pPr>
    </w:p>
    <w:tbl>
      <w:tblPr>
        <w:tblStyle w:val="TableGrid"/>
        <w:tblW w:w="0" w:type="auto"/>
        <w:tblLook w:val="04A0" w:firstRow="1" w:lastRow="0" w:firstColumn="1" w:lastColumn="0" w:noHBand="0" w:noVBand="1"/>
      </w:tblPr>
      <w:tblGrid>
        <w:gridCol w:w="3209"/>
        <w:gridCol w:w="6259"/>
      </w:tblGrid>
      <w:tr w:rsidR="00A25A93" w:rsidRPr="00EA38B1" w14:paraId="1D2C1EB7" w14:textId="77777777" w:rsidTr="004C5FFB">
        <w:tc>
          <w:tcPr>
            <w:tcW w:w="9468" w:type="dxa"/>
            <w:gridSpan w:val="2"/>
            <w:tcBorders>
              <w:bottom w:val="single" w:sz="4" w:space="0" w:color="auto"/>
            </w:tcBorders>
            <w:shd w:val="clear" w:color="auto" w:fill="F3F3F3"/>
          </w:tcPr>
          <w:p w14:paraId="72C8D1F8" w14:textId="23C73EA1" w:rsidR="00A25A93" w:rsidRPr="00EA38B1" w:rsidRDefault="00AC4816" w:rsidP="008E7CF5">
            <w:pPr>
              <w:jc w:val="center"/>
              <w:rPr>
                <w:rFonts w:asciiTheme="majorHAnsi" w:hAnsiTheme="majorHAnsi"/>
                <w:b/>
              </w:rPr>
            </w:pPr>
            <w:r>
              <w:rPr>
                <w:rFonts w:asciiTheme="majorHAnsi" w:hAnsiTheme="majorHAnsi"/>
                <w:b/>
              </w:rPr>
              <w:t xml:space="preserve">Other </w:t>
            </w:r>
            <w:r w:rsidR="00A20427">
              <w:rPr>
                <w:rFonts w:asciiTheme="majorHAnsi" w:hAnsiTheme="majorHAnsi"/>
                <w:b/>
              </w:rPr>
              <w:t>Concerns</w:t>
            </w:r>
            <w:r>
              <w:rPr>
                <w:rFonts w:asciiTheme="majorHAnsi" w:hAnsiTheme="majorHAnsi"/>
                <w:b/>
              </w:rPr>
              <w:t xml:space="preserve"> Expressed</w:t>
            </w:r>
          </w:p>
        </w:tc>
      </w:tr>
      <w:tr w:rsidR="008E7CF5" w:rsidRPr="00EA38B1" w14:paraId="40F0E7F1" w14:textId="77777777" w:rsidTr="004C5FFB">
        <w:tc>
          <w:tcPr>
            <w:tcW w:w="3209" w:type="dxa"/>
            <w:tcBorders>
              <w:bottom w:val="single" w:sz="4" w:space="0" w:color="auto"/>
            </w:tcBorders>
          </w:tcPr>
          <w:p w14:paraId="40A323A1" w14:textId="05CAFBC0" w:rsidR="008E7CF5" w:rsidRPr="00A25A93" w:rsidRDefault="00A20427" w:rsidP="008E7CF5">
            <w:pPr>
              <w:jc w:val="center"/>
              <w:rPr>
                <w:rFonts w:asciiTheme="majorHAnsi" w:hAnsiTheme="majorHAnsi"/>
                <w:b/>
                <w:sz w:val="22"/>
                <w:szCs w:val="22"/>
              </w:rPr>
            </w:pPr>
            <w:r>
              <w:rPr>
                <w:rFonts w:asciiTheme="majorHAnsi" w:hAnsiTheme="majorHAnsi"/>
                <w:b/>
                <w:sz w:val="22"/>
                <w:szCs w:val="22"/>
              </w:rPr>
              <w:t>Concern</w:t>
            </w:r>
          </w:p>
        </w:tc>
        <w:tc>
          <w:tcPr>
            <w:tcW w:w="6259" w:type="dxa"/>
            <w:tcBorders>
              <w:bottom w:val="single" w:sz="4" w:space="0" w:color="auto"/>
            </w:tcBorders>
          </w:tcPr>
          <w:p w14:paraId="4D9AA676" w14:textId="77777777" w:rsidR="008E7CF5" w:rsidRPr="00A25A93" w:rsidRDefault="008E7CF5" w:rsidP="008E7CF5">
            <w:pPr>
              <w:jc w:val="center"/>
              <w:rPr>
                <w:rFonts w:asciiTheme="majorHAnsi" w:hAnsiTheme="majorHAnsi"/>
                <w:b/>
                <w:sz w:val="22"/>
                <w:szCs w:val="22"/>
              </w:rPr>
            </w:pPr>
            <w:r w:rsidRPr="00A25A93">
              <w:rPr>
                <w:rFonts w:asciiTheme="majorHAnsi" w:hAnsiTheme="majorHAnsi"/>
                <w:b/>
                <w:sz w:val="22"/>
                <w:szCs w:val="22"/>
              </w:rPr>
              <w:t>Response</w:t>
            </w:r>
          </w:p>
        </w:tc>
      </w:tr>
      <w:tr w:rsidR="006E13A8" w:rsidRPr="00EA38B1" w14:paraId="2C5DE3D9" w14:textId="77777777" w:rsidTr="004C5FFB">
        <w:tc>
          <w:tcPr>
            <w:tcW w:w="3209" w:type="dxa"/>
          </w:tcPr>
          <w:p w14:paraId="74FED1AE" w14:textId="77777777" w:rsidR="006E13A8" w:rsidRPr="00980141" w:rsidRDefault="006E13A8" w:rsidP="00980141">
            <w:pPr>
              <w:pStyle w:val="ListParagraph"/>
              <w:numPr>
                <w:ilvl w:val="0"/>
                <w:numId w:val="3"/>
              </w:numPr>
              <w:rPr>
                <w:rFonts w:asciiTheme="majorHAnsi" w:hAnsiTheme="majorHAnsi"/>
                <w:sz w:val="22"/>
                <w:szCs w:val="22"/>
              </w:rPr>
            </w:pPr>
            <w:r w:rsidRPr="009D25AE">
              <w:rPr>
                <w:rFonts w:asciiTheme="majorHAnsi" w:hAnsiTheme="majorHAnsi"/>
                <w:sz w:val="22"/>
                <w:szCs w:val="22"/>
              </w:rPr>
              <w:t>If my</w:t>
            </w:r>
            <w:r>
              <w:rPr>
                <w:rFonts w:asciiTheme="majorHAnsi" w:hAnsiTheme="majorHAnsi"/>
                <w:sz w:val="22"/>
                <w:szCs w:val="22"/>
              </w:rPr>
              <w:t xml:space="preserve"> neighbor is a CCA customer and I opt out, aren’t we both still getting the same power through the wires that come to our houses?</w:t>
            </w:r>
          </w:p>
        </w:tc>
        <w:tc>
          <w:tcPr>
            <w:tcW w:w="6259" w:type="dxa"/>
          </w:tcPr>
          <w:p w14:paraId="6EBEE4D6" w14:textId="2752AEAC" w:rsidR="006E13A8" w:rsidRDefault="00A23E14" w:rsidP="009D25AE">
            <w:pPr>
              <w:rPr>
                <w:rFonts w:asciiTheme="majorHAnsi" w:hAnsiTheme="majorHAnsi"/>
                <w:sz w:val="22"/>
                <w:szCs w:val="22"/>
              </w:rPr>
            </w:pPr>
            <w:r>
              <w:rPr>
                <w:rFonts w:asciiTheme="majorHAnsi" w:hAnsiTheme="majorHAnsi"/>
                <w:sz w:val="22"/>
                <w:szCs w:val="22"/>
              </w:rPr>
              <w:t xml:space="preserve">Although both customers in this example receive the same electricity through the wires, </w:t>
            </w:r>
            <w:r w:rsidRPr="00253E5A">
              <w:rPr>
                <w:rFonts w:asciiTheme="majorHAnsi" w:hAnsiTheme="majorHAnsi"/>
                <w:sz w:val="22"/>
                <w:szCs w:val="22"/>
              </w:rPr>
              <w:t>w</w:t>
            </w:r>
            <w:r w:rsidR="006E13A8" w:rsidRPr="00253E5A">
              <w:rPr>
                <w:rFonts w:asciiTheme="majorHAnsi" w:hAnsiTheme="majorHAnsi"/>
                <w:sz w:val="22"/>
                <w:szCs w:val="22"/>
              </w:rPr>
              <w:t xml:space="preserve">hat </w:t>
            </w:r>
            <w:r w:rsidRPr="00253E5A">
              <w:rPr>
                <w:rFonts w:asciiTheme="majorHAnsi" w:hAnsiTheme="majorHAnsi"/>
                <w:sz w:val="22"/>
                <w:szCs w:val="22"/>
              </w:rPr>
              <w:t>counts</w:t>
            </w:r>
            <w:r w:rsidR="006E13A8" w:rsidRPr="00253E5A">
              <w:rPr>
                <w:rFonts w:asciiTheme="majorHAnsi" w:hAnsiTheme="majorHAnsi"/>
                <w:sz w:val="22"/>
                <w:szCs w:val="22"/>
              </w:rPr>
              <w:t xml:space="preserve"> is the </w:t>
            </w:r>
            <w:r w:rsidR="000A685D" w:rsidRPr="00253E5A">
              <w:rPr>
                <w:rFonts w:asciiTheme="majorHAnsi" w:hAnsiTheme="majorHAnsi"/>
                <w:sz w:val="22"/>
                <w:szCs w:val="22"/>
              </w:rPr>
              <w:t>volume</w:t>
            </w:r>
            <w:r w:rsidR="0053294A" w:rsidRPr="00253E5A">
              <w:rPr>
                <w:rFonts w:asciiTheme="majorHAnsi" w:hAnsiTheme="majorHAnsi"/>
                <w:sz w:val="22"/>
                <w:szCs w:val="22"/>
              </w:rPr>
              <w:t xml:space="preserve"> of renewable energy the CCA procures through contracts</w:t>
            </w:r>
            <w:r w:rsidR="006E13A8" w:rsidRPr="00253E5A">
              <w:rPr>
                <w:rFonts w:asciiTheme="majorHAnsi" w:hAnsiTheme="majorHAnsi"/>
                <w:sz w:val="22"/>
                <w:szCs w:val="22"/>
              </w:rPr>
              <w:t>.</w:t>
            </w:r>
            <w:r w:rsidR="0053294A" w:rsidRPr="00253E5A">
              <w:rPr>
                <w:rFonts w:asciiTheme="majorHAnsi" w:hAnsiTheme="majorHAnsi"/>
                <w:sz w:val="22"/>
                <w:szCs w:val="22"/>
              </w:rPr>
              <w:t xml:space="preserve"> D</w:t>
            </w:r>
            <w:r w:rsidR="000A685D" w:rsidRPr="00253E5A">
              <w:rPr>
                <w:rFonts w:asciiTheme="majorHAnsi" w:hAnsiTheme="majorHAnsi"/>
                <w:sz w:val="22"/>
                <w:szCs w:val="22"/>
              </w:rPr>
              <w:t>ollars paid to a CCA</w:t>
            </w:r>
            <w:r w:rsidR="006E13A8" w:rsidRPr="00253E5A">
              <w:rPr>
                <w:rFonts w:asciiTheme="majorHAnsi" w:hAnsiTheme="majorHAnsi"/>
                <w:sz w:val="22"/>
                <w:szCs w:val="22"/>
              </w:rPr>
              <w:t xml:space="preserve"> </w:t>
            </w:r>
            <w:r w:rsidR="000A685D" w:rsidRPr="00253E5A">
              <w:rPr>
                <w:rFonts w:asciiTheme="majorHAnsi" w:hAnsiTheme="majorHAnsi"/>
                <w:sz w:val="22"/>
                <w:szCs w:val="22"/>
              </w:rPr>
              <w:t xml:space="preserve">by its customers </w:t>
            </w:r>
            <w:r w:rsidR="009D25AE" w:rsidRPr="00253E5A">
              <w:rPr>
                <w:rFonts w:asciiTheme="majorHAnsi" w:hAnsiTheme="majorHAnsi"/>
                <w:sz w:val="22"/>
                <w:szCs w:val="22"/>
              </w:rPr>
              <w:t>pay for a cleaner power mix</w:t>
            </w:r>
            <w:r w:rsidR="00CF6F87" w:rsidRPr="00253E5A">
              <w:rPr>
                <w:rFonts w:asciiTheme="majorHAnsi" w:hAnsiTheme="majorHAnsi"/>
                <w:sz w:val="22"/>
                <w:szCs w:val="22"/>
              </w:rPr>
              <w:t xml:space="preserve">, </w:t>
            </w:r>
            <w:r w:rsidR="0053294A" w:rsidRPr="00253E5A">
              <w:rPr>
                <w:rFonts w:asciiTheme="majorHAnsi" w:hAnsiTheme="majorHAnsi"/>
                <w:sz w:val="22"/>
                <w:szCs w:val="22"/>
              </w:rPr>
              <w:t xml:space="preserve">thereby </w:t>
            </w:r>
            <w:r w:rsidR="00CF6F87" w:rsidRPr="00253E5A">
              <w:rPr>
                <w:rFonts w:asciiTheme="majorHAnsi" w:hAnsiTheme="majorHAnsi"/>
                <w:sz w:val="22"/>
                <w:szCs w:val="22"/>
              </w:rPr>
              <w:t>stimulating the renewable energy market</w:t>
            </w:r>
            <w:r w:rsidR="000A685D" w:rsidRPr="00253E5A">
              <w:rPr>
                <w:rFonts w:asciiTheme="majorHAnsi" w:hAnsiTheme="majorHAnsi"/>
                <w:sz w:val="22"/>
                <w:szCs w:val="22"/>
              </w:rPr>
              <w:t xml:space="preserve"> and reducing greenho</w:t>
            </w:r>
            <w:r w:rsidR="009D25AE" w:rsidRPr="00253E5A">
              <w:rPr>
                <w:rFonts w:asciiTheme="majorHAnsi" w:hAnsiTheme="majorHAnsi"/>
                <w:sz w:val="22"/>
                <w:szCs w:val="22"/>
              </w:rPr>
              <w:t>u</w:t>
            </w:r>
            <w:r w:rsidR="000A685D" w:rsidRPr="00253E5A">
              <w:rPr>
                <w:rFonts w:asciiTheme="majorHAnsi" w:hAnsiTheme="majorHAnsi"/>
                <w:sz w:val="22"/>
                <w:szCs w:val="22"/>
              </w:rPr>
              <w:t xml:space="preserve">se gas emissions. </w:t>
            </w:r>
          </w:p>
        </w:tc>
      </w:tr>
      <w:tr w:rsidR="008E7CF5" w:rsidRPr="00EA38B1" w14:paraId="000B6D8B" w14:textId="77777777" w:rsidTr="004C5FFB">
        <w:tc>
          <w:tcPr>
            <w:tcW w:w="3209" w:type="dxa"/>
          </w:tcPr>
          <w:p w14:paraId="28FACA49" w14:textId="4D4C106F" w:rsidR="008E7CF5" w:rsidRPr="00980141" w:rsidRDefault="00A20427" w:rsidP="00980141">
            <w:pPr>
              <w:pStyle w:val="ListParagraph"/>
              <w:numPr>
                <w:ilvl w:val="0"/>
                <w:numId w:val="3"/>
              </w:numPr>
              <w:rPr>
                <w:rFonts w:asciiTheme="majorHAnsi" w:hAnsiTheme="majorHAnsi"/>
                <w:sz w:val="22"/>
                <w:szCs w:val="22"/>
              </w:rPr>
            </w:pPr>
            <w:r>
              <w:rPr>
                <w:rFonts w:asciiTheme="majorHAnsi" w:hAnsiTheme="majorHAnsi"/>
                <w:sz w:val="22"/>
                <w:szCs w:val="22"/>
              </w:rPr>
              <w:t xml:space="preserve">Do </w:t>
            </w:r>
            <w:r w:rsidR="00607961" w:rsidRPr="00E27141">
              <w:rPr>
                <w:rFonts w:asciiTheme="majorHAnsi" w:hAnsiTheme="majorHAnsi"/>
                <w:sz w:val="22"/>
                <w:szCs w:val="22"/>
              </w:rPr>
              <w:t>CCAs create</w:t>
            </w:r>
            <w:r w:rsidR="00607961" w:rsidRPr="00980141">
              <w:rPr>
                <w:rFonts w:asciiTheme="majorHAnsi" w:hAnsiTheme="majorHAnsi"/>
                <w:sz w:val="22"/>
                <w:szCs w:val="22"/>
              </w:rPr>
              <w:t xml:space="preserve"> an </w:t>
            </w:r>
            <w:r w:rsidR="008E7CF5" w:rsidRPr="00980141">
              <w:rPr>
                <w:rFonts w:asciiTheme="majorHAnsi" w:hAnsiTheme="majorHAnsi"/>
                <w:sz w:val="22"/>
                <w:szCs w:val="22"/>
              </w:rPr>
              <w:t>illusion of 100% renewable power</w:t>
            </w:r>
            <w:r>
              <w:rPr>
                <w:rFonts w:asciiTheme="majorHAnsi" w:hAnsiTheme="majorHAnsi"/>
                <w:sz w:val="22"/>
                <w:szCs w:val="22"/>
              </w:rPr>
              <w:t>?</w:t>
            </w:r>
          </w:p>
        </w:tc>
        <w:tc>
          <w:tcPr>
            <w:tcW w:w="6259" w:type="dxa"/>
          </w:tcPr>
          <w:p w14:paraId="382F0CD1" w14:textId="6B2DC929" w:rsidR="008E7CF5" w:rsidRPr="00FA7499" w:rsidRDefault="00B71ED0" w:rsidP="00B71ED0">
            <w:pPr>
              <w:rPr>
                <w:rFonts w:asciiTheme="majorHAnsi" w:hAnsiTheme="majorHAnsi"/>
                <w:sz w:val="22"/>
                <w:szCs w:val="22"/>
              </w:rPr>
            </w:pPr>
            <w:r w:rsidRPr="00253E5A">
              <w:rPr>
                <w:rFonts w:asciiTheme="majorHAnsi" w:hAnsiTheme="majorHAnsi"/>
                <w:sz w:val="22"/>
                <w:szCs w:val="22"/>
              </w:rPr>
              <w:t>CCAs are creating demand for more renewable power – geothermal, hydro, and storage can bring the mix up to 100% clean energy.</w:t>
            </w:r>
            <w:r>
              <w:rPr>
                <w:rFonts w:asciiTheme="majorHAnsi" w:hAnsiTheme="majorHAnsi"/>
                <w:sz w:val="22"/>
                <w:szCs w:val="22"/>
              </w:rPr>
              <w:t xml:space="preserve"> </w:t>
            </w:r>
            <w:r w:rsidR="008E7CF5">
              <w:rPr>
                <w:rFonts w:asciiTheme="majorHAnsi" w:hAnsiTheme="majorHAnsi"/>
                <w:sz w:val="22"/>
                <w:szCs w:val="22"/>
              </w:rPr>
              <w:t>Both IOUs and CCA</w:t>
            </w:r>
            <w:r w:rsidR="008E7CF5" w:rsidRPr="00FA7499">
              <w:rPr>
                <w:rFonts w:asciiTheme="majorHAnsi" w:hAnsiTheme="majorHAnsi"/>
                <w:sz w:val="22"/>
                <w:szCs w:val="22"/>
              </w:rPr>
              <w:t>s are required under law to publish power content labels</w:t>
            </w:r>
            <w:r w:rsidR="008E7CF5" w:rsidRPr="00823C41">
              <w:rPr>
                <w:vertAlign w:val="superscript"/>
              </w:rPr>
              <w:footnoteReference w:id="6"/>
            </w:r>
            <w:r w:rsidR="008E7CF5" w:rsidRPr="00FA7499">
              <w:rPr>
                <w:rFonts w:asciiTheme="majorHAnsi" w:hAnsiTheme="majorHAnsi"/>
                <w:sz w:val="22"/>
                <w:szCs w:val="22"/>
              </w:rPr>
              <w:t xml:space="preserve"> that present their power mixes. If 100% of </w:t>
            </w:r>
            <w:r w:rsidR="008E7CF5" w:rsidRPr="00FA7499">
              <w:rPr>
                <w:rFonts w:asciiTheme="majorHAnsi" w:hAnsiTheme="majorHAnsi"/>
                <w:sz w:val="22"/>
                <w:szCs w:val="22"/>
              </w:rPr>
              <w:lastRenderedPageBreak/>
              <w:t xml:space="preserve">the power mix is </w:t>
            </w:r>
            <w:r w:rsidR="0053294A">
              <w:rPr>
                <w:rFonts w:asciiTheme="majorHAnsi" w:hAnsiTheme="majorHAnsi"/>
                <w:sz w:val="22"/>
                <w:szCs w:val="22"/>
              </w:rPr>
              <w:t xml:space="preserve">from </w:t>
            </w:r>
            <w:r w:rsidR="008E7CF5" w:rsidRPr="00FA7499">
              <w:rPr>
                <w:rFonts w:asciiTheme="majorHAnsi" w:hAnsiTheme="majorHAnsi"/>
                <w:sz w:val="22"/>
                <w:szCs w:val="22"/>
              </w:rPr>
              <w:t>eligible renewable sources</w:t>
            </w:r>
            <w:r w:rsidR="00A25437">
              <w:rPr>
                <w:rFonts w:asciiTheme="majorHAnsi" w:hAnsiTheme="majorHAnsi"/>
                <w:sz w:val="22"/>
                <w:szCs w:val="22"/>
              </w:rPr>
              <w:t>,</w:t>
            </w:r>
            <w:r w:rsidR="008E7CF5" w:rsidRPr="00823C41">
              <w:rPr>
                <w:vertAlign w:val="superscript"/>
              </w:rPr>
              <w:footnoteReference w:id="7"/>
            </w:r>
            <w:r w:rsidR="008E7CF5" w:rsidRPr="00FA7499">
              <w:rPr>
                <w:rFonts w:asciiTheme="majorHAnsi" w:hAnsiTheme="majorHAnsi"/>
                <w:sz w:val="22"/>
                <w:szCs w:val="22"/>
              </w:rPr>
              <w:t xml:space="preserve"> then 100% of the customers’ electricity dollar pays for those resources.</w:t>
            </w:r>
            <w:r w:rsidR="008E7CF5">
              <w:rPr>
                <w:rFonts w:asciiTheme="majorHAnsi" w:hAnsiTheme="majorHAnsi"/>
                <w:sz w:val="22"/>
                <w:szCs w:val="22"/>
              </w:rPr>
              <w:t xml:space="preserve"> </w:t>
            </w:r>
          </w:p>
        </w:tc>
      </w:tr>
      <w:tr w:rsidR="008E7CF5" w:rsidRPr="00EA38B1" w14:paraId="6CAE6918" w14:textId="77777777" w:rsidTr="004C5FFB">
        <w:tc>
          <w:tcPr>
            <w:tcW w:w="3209" w:type="dxa"/>
            <w:tcBorders>
              <w:bottom w:val="single" w:sz="4" w:space="0" w:color="auto"/>
            </w:tcBorders>
          </w:tcPr>
          <w:p w14:paraId="51762923" w14:textId="5F0347D6" w:rsidR="008E7CF5" w:rsidRPr="00FA7499" w:rsidRDefault="00A20427" w:rsidP="00980141">
            <w:pPr>
              <w:pStyle w:val="Default"/>
              <w:numPr>
                <w:ilvl w:val="0"/>
                <w:numId w:val="3"/>
              </w:numPr>
              <w:rPr>
                <w:rFonts w:asciiTheme="majorHAnsi" w:hAnsiTheme="majorHAnsi"/>
                <w:sz w:val="22"/>
                <w:szCs w:val="22"/>
              </w:rPr>
            </w:pPr>
            <w:r>
              <w:rPr>
                <w:rFonts w:asciiTheme="majorHAnsi" w:hAnsiTheme="majorHAnsi"/>
                <w:sz w:val="22"/>
                <w:szCs w:val="22"/>
              </w:rPr>
              <w:lastRenderedPageBreak/>
              <w:t>Can’t we</w:t>
            </w:r>
            <w:r w:rsidR="008E7CF5" w:rsidRPr="00B71ED0">
              <w:rPr>
                <w:rFonts w:asciiTheme="majorHAnsi" w:hAnsiTheme="majorHAnsi"/>
                <w:sz w:val="22"/>
                <w:szCs w:val="22"/>
              </w:rPr>
              <w:t xml:space="preserve"> achieve lower rates and more renewables (with</w:t>
            </w:r>
            <w:r w:rsidR="008E7CF5" w:rsidRPr="00FA7499">
              <w:rPr>
                <w:rFonts w:asciiTheme="majorHAnsi" w:hAnsiTheme="majorHAnsi"/>
                <w:sz w:val="22"/>
                <w:szCs w:val="22"/>
              </w:rPr>
              <w:t xml:space="preserve"> realistic expectations) by working through the CPUC </w:t>
            </w:r>
            <w:r w:rsidR="00607961">
              <w:rPr>
                <w:rFonts w:asciiTheme="majorHAnsi" w:hAnsiTheme="majorHAnsi"/>
                <w:sz w:val="22"/>
                <w:szCs w:val="22"/>
              </w:rPr>
              <w:t xml:space="preserve">and PG&amp;E than we can with a </w:t>
            </w:r>
            <w:r w:rsidR="00AC4816">
              <w:rPr>
                <w:rFonts w:asciiTheme="majorHAnsi" w:hAnsiTheme="majorHAnsi"/>
                <w:sz w:val="22"/>
                <w:szCs w:val="22"/>
              </w:rPr>
              <w:t>CCA?</w:t>
            </w:r>
          </w:p>
        </w:tc>
        <w:tc>
          <w:tcPr>
            <w:tcW w:w="6259" w:type="dxa"/>
            <w:tcBorders>
              <w:bottom w:val="single" w:sz="4" w:space="0" w:color="auto"/>
            </w:tcBorders>
          </w:tcPr>
          <w:p w14:paraId="3D151409" w14:textId="560615D4" w:rsidR="008E7CF5" w:rsidRPr="00FA7499" w:rsidRDefault="008E7CF5" w:rsidP="00A25437">
            <w:pPr>
              <w:rPr>
                <w:rFonts w:asciiTheme="majorHAnsi" w:hAnsiTheme="majorHAnsi"/>
                <w:sz w:val="22"/>
                <w:szCs w:val="22"/>
              </w:rPr>
            </w:pPr>
            <w:r>
              <w:rPr>
                <w:rFonts w:asciiTheme="majorHAnsi" w:hAnsiTheme="majorHAnsi"/>
                <w:sz w:val="22"/>
                <w:szCs w:val="22"/>
              </w:rPr>
              <w:t>Historically CPUC/IOUs rates have gone up about 5% per year</w:t>
            </w:r>
            <w:r>
              <w:rPr>
                <w:rStyle w:val="FootnoteReference"/>
                <w:rFonts w:asciiTheme="majorHAnsi" w:hAnsiTheme="majorHAnsi"/>
                <w:sz w:val="22"/>
                <w:szCs w:val="22"/>
              </w:rPr>
              <w:footnoteReference w:id="8"/>
            </w:r>
            <w:r>
              <w:rPr>
                <w:rFonts w:asciiTheme="majorHAnsi" w:hAnsiTheme="majorHAnsi"/>
                <w:sz w:val="22"/>
                <w:szCs w:val="22"/>
              </w:rPr>
              <w:t xml:space="preserve"> regardless of technology innovations and other factors</w:t>
            </w:r>
            <w:r w:rsidR="00A25437">
              <w:rPr>
                <w:rFonts w:asciiTheme="majorHAnsi" w:hAnsiTheme="majorHAnsi"/>
                <w:sz w:val="22"/>
                <w:szCs w:val="22"/>
              </w:rPr>
              <w:t>.</w:t>
            </w:r>
            <w:r>
              <w:rPr>
                <w:rFonts w:asciiTheme="majorHAnsi" w:hAnsiTheme="majorHAnsi"/>
                <w:sz w:val="22"/>
                <w:szCs w:val="22"/>
              </w:rPr>
              <w:t xml:space="preserve"> For-profit IOUs have no intrinsic motivation to offer lower rates or cleaner power. </w:t>
            </w:r>
            <w:r w:rsidR="00A25437">
              <w:rPr>
                <w:rFonts w:asciiTheme="majorHAnsi" w:hAnsiTheme="majorHAnsi"/>
                <w:sz w:val="22"/>
                <w:szCs w:val="22"/>
              </w:rPr>
              <w:t xml:space="preserve">In contrast, </w:t>
            </w:r>
            <w:r>
              <w:rPr>
                <w:rFonts w:asciiTheme="majorHAnsi" w:hAnsiTheme="majorHAnsi"/>
                <w:sz w:val="22"/>
                <w:szCs w:val="22"/>
              </w:rPr>
              <w:t>locally accountable not-for-profit agencies CCAs do. IOUs have had 100+ years to produce results. They have done well on some things</w:t>
            </w:r>
            <w:r w:rsidR="00A25437">
              <w:rPr>
                <w:rFonts w:asciiTheme="majorHAnsi" w:hAnsiTheme="majorHAnsi"/>
                <w:sz w:val="22"/>
                <w:szCs w:val="22"/>
              </w:rPr>
              <w:t>, but</w:t>
            </w:r>
            <w:r>
              <w:rPr>
                <w:rFonts w:asciiTheme="majorHAnsi" w:hAnsiTheme="majorHAnsi"/>
                <w:sz w:val="22"/>
                <w:szCs w:val="22"/>
              </w:rPr>
              <w:t xml:space="preserve"> CCAs have demonstrated over the past 7 years that they can do even better.</w:t>
            </w:r>
            <w:r w:rsidR="003C150B">
              <w:rPr>
                <w:rFonts w:asciiTheme="majorHAnsi" w:hAnsiTheme="majorHAnsi"/>
                <w:sz w:val="22"/>
                <w:szCs w:val="22"/>
              </w:rPr>
              <w:t xml:space="preserve"> </w:t>
            </w:r>
            <w:r>
              <w:rPr>
                <w:rFonts w:asciiTheme="majorHAnsi" w:hAnsiTheme="majorHAnsi"/>
                <w:sz w:val="22"/>
                <w:szCs w:val="22"/>
              </w:rPr>
              <w:t xml:space="preserve">Also, note that on average, publicly owned utility rates </w:t>
            </w:r>
            <w:r w:rsidR="00AA1189" w:rsidRPr="002153A7">
              <w:rPr>
                <w:rFonts w:asciiTheme="majorHAnsi" w:hAnsiTheme="majorHAnsi"/>
                <w:sz w:val="22"/>
                <w:szCs w:val="22"/>
              </w:rPr>
              <w:t>(e.g. municipal utilities)</w:t>
            </w:r>
            <w:r w:rsidR="00AA1189">
              <w:rPr>
                <w:rFonts w:asciiTheme="majorHAnsi" w:hAnsiTheme="majorHAnsi"/>
                <w:sz w:val="22"/>
                <w:szCs w:val="22"/>
              </w:rPr>
              <w:t xml:space="preserve"> </w:t>
            </w:r>
            <w:r>
              <w:rPr>
                <w:rFonts w:asciiTheme="majorHAnsi" w:hAnsiTheme="majorHAnsi"/>
                <w:sz w:val="22"/>
                <w:szCs w:val="22"/>
              </w:rPr>
              <w:t>are about 15-20% lower than for-profit utilities in the U.S.</w:t>
            </w:r>
            <w:r>
              <w:rPr>
                <w:rStyle w:val="FootnoteReference"/>
                <w:rFonts w:asciiTheme="majorHAnsi" w:hAnsiTheme="majorHAnsi"/>
                <w:sz w:val="22"/>
                <w:szCs w:val="22"/>
              </w:rPr>
              <w:footnoteReference w:id="9"/>
            </w:r>
          </w:p>
        </w:tc>
      </w:tr>
      <w:tr w:rsidR="003C150B" w:rsidRPr="00EA38B1" w14:paraId="55FBB92D" w14:textId="77777777" w:rsidTr="004C5FFB">
        <w:tc>
          <w:tcPr>
            <w:tcW w:w="3209" w:type="dxa"/>
          </w:tcPr>
          <w:p w14:paraId="7A02B706" w14:textId="3AD0E938" w:rsidR="003C150B" w:rsidRPr="00980141" w:rsidRDefault="00A20427" w:rsidP="00A20427">
            <w:pPr>
              <w:pStyle w:val="ListParagraph"/>
              <w:numPr>
                <w:ilvl w:val="0"/>
                <w:numId w:val="3"/>
              </w:numPr>
              <w:rPr>
                <w:rFonts w:asciiTheme="majorHAnsi" w:hAnsiTheme="majorHAnsi"/>
                <w:sz w:val="22"/>
                <w:szCs w:val="22"/>
              </w:rPr>
            </w:pPr>
            <w:r>
              <w:rPr>
                <w:rFonts w:asciiTheme="majorHAnsi" w:hAnsiTheme="majorHAnsi"/>
                <w:sz w:val="22"/>
                <w:szCs w:val="22"/>
              </w:rPr>
              <w:t xml:space="preserve">Is CCA </w:t>
            </w:r>
            <w:r w:rsidR="003C150B" w:rsidRPr="00980141">
              <w:rPr>
                <w:rFonts w:asciiTheme="majorHAnsi" w:hAnsiTheme="majorHAnsi"/>
                <w:sz w:val="22"/>
                <w:szCs w:val="22"/>
              </w:rPr>
              <w:t>creating another expensive layer of bureaucracy</w:t>
            </w:r>
            <w:r>
              <w:rPr>
                <w:rFonts w:asciiTheme="majorHAnsi" w:hAnsiTheme="majorHAnsi"/>
                <w:sz w:val="22"/>
                <w:szCs w:val="22"/>
              </w:rPr>
              <w:t xml:space="preserve">? Could lower cost options </w:t>
            </w:r>
            <w:r w:rsidRPr="00980141">
              <w:rPr>
                <w:rFonts w:asciiTheme="majorHAnsi" w:hAnsiTheme="majorHAnsi"/>
                <w:sz w:val="22"/>
                <w:szCs w:val="22"/>
              </w:rPr>
              <w:t xml:space="preserve">be implemented </w:t>
            </w:r>
            <w:r>
              <w:rPr>
                <w:rFonts w:asciiTheme="majorHAnsi" w:hAnsiTheme="majorHAnsi"/>
                <w:sz w:val="22"/>
                <w:szCs w:val="22"/>
              </w:rPr>
              <w:t>first?</w:t>
            </w:r>
          </w:p>
        </w:tc>
        <w:tc>
          <w:tcPr>
            <w:tcW w:w="6259" w:type="dxa"/>
          </w:tcPr>
          <w:p w14:paraId="55346461" w14:textId="0805A0C1" w:rsidR="003C150B" w:rsidRPr="00FA7499" w:rsidRDefault="00A25437" w:rsidP="00CB6B3C">
            <w:pPr>
              <w:rPr>
                <w:rFonts w:asciiTheme="majorHAnsi" w:hAnsiTheme="majorHAnsi"/>
                <w:sz w:val="22"/>
                <w:szCs w:val="22"/>
              </w:rPr>
            </w:pPr>
            <w:r>
              <w:rPr>
                <w:rFonts w:asciiTheme="majorHAnsi" w:hAnsiTheme="majorHAnsi"/>
                <w:sz w:val="22"/>
                <w:szCs w:val="22"/>
              </w:rPr>
              <w:t>N</w:t>
            </w:r>
            <w:r w:rsidR="00607961">
              <w:rPr>
                <w:rFonts w:asciiTheme="majorHAnsi" w:hAnsiTheme="majorHAnsi"/>
                <w:sz w:val="22"/>
                <w:szCs w:val="22"/>
              </w:rPr>
              <w:t xml:space="preserve">o other option </w:t>
            </w:r>
            <w:r>
              <w:rPr>
                <w:rFonts w:asciiTheme="majorHAnsi" w:hAnsiTheme="majorHAnsi"/>
                <w:sz w:val="22"/>
                <w:szCs w:val="22"/>
              </w:rPr>
              <w:t xml:space="preserve">exists </w:t>
            </w:r>
            <w:r w:rsidR="00607961">
              <w:rPr>
                <w:rFonts w:asciiTheme="majorHAnsi" w:hAnsiTheme="majorHAnsi"/>
                <w:sz w:val="22"/>
                <w:szCs w:val="22"/>
              </w:rPr>
              <w:t>that presents opportunities comparable to those that CCA offers.</w:t>
            </w:r>
            <w:r w:rsidR="003C150B">
              <w:rPr>
                <w:rFonts w:asciiTheme="majorHAnsi" w:hAnsiTheme="majorHAnsi"/>
                <w:sz w:val="22"/>
                <w:szCs w:val="22"/>
              </w:rPr>
              <w:t xml:space="preserve"> CCAs do not create a new expensive</w:t>
            </w:r>
            <w:r w:rsidR="00FF4526">
              <w:rPr>
                <w:rFonts w:asciiTheme="majorHAnsi" w:hAnsiTheme="majorHAnsi"/>
                <w:sz w:val="22"/>
                <w:szCs w:val="22"/>
              </w:rPr>
              <w:t xml:space="preserve"> layer</w:t>
            </w:r>
            <w:r w:rsidR="007D4CAB">
              <w:rPr>
                <w:rFonts w:asciiTheme="majorHAnsi" w:hAnsiTheme="majorHAnsi"/>
                <w:sz w:val="22"/>
                <w:szCs w:val="22"/>
              </w:rPr>
              <w:t xml:space="preserve"> </w:t>
            </w:r>
            <w:r w:rsidR="007D4CAB" w:rsidRPr="00B71ED0">
              <w:rPr>
                <w:rFonts w:asciiTheme="majorHAnsi" w:hAnsiTheme="majorHAnsi"/>
                <w:sz w:val="22"/>
                <w:szCs w:val="22"/>
              </w:rPr>
              <w:t>of</w:t>
            </w:r>
            <w:r w:rsidR="003C150B">
              <w:rPr>
                <w:rFonts w:asciiTheme="majorHAnsi" w:hAnsiTheme="majorHAnsi"/>
                <w:sz w:val="22"/>
                <w:szCs w:val="22"/>
              </w:rPr>
              <w:t xml:space="preserve"> bureaucracy</w:t>
            </w:r>
            <w:r>
              <w:rPr>
                <w:rFonts w:asciiTheme="majorHAnsi" w:hAnsiTheme="majorHAnsi"/>
                <w:sz w:val="22"/>
                <w:szCs w:val="22"/>
              </w:rPr>
              <w:t>;</w:t>
            </w:r>
            <w:r w:rsidR="00FF4526">
              <w:rPr>
                <w:rFonts w:asciiTheme="majorHAnsi" w:hAnsiTheme="majorHAnsi"/>
                <w:sz w:val="22"/>
                <w:szCs w:val="22"/>
              </w:rPr>
              <w:t xml:space="preserve"> they replace a distant and inefficient one</w:t>
            </w:r>
            <w:r w:rsidR="003C150B">
              <w:rPr>
                <w:rFonts w:asciiTheme="majorHAnsi" w:hAnsiTheme="majorHAnsi"/>
                <w:sz w:val="22"/>
                <w:szCs w:val="22"/>
              </w:rPr>
              <w:t xml:space="preserve">. Once operational, CCAs are revenue generators, start-up costs to the City are reimbursed, and the costs of the </w:t>
            </w:r>
            <w:r w:rsidR="004C5FFB" w:rsidRPr="00253E5A">
              <w:rPr>
                <w:rFonts w:asciiTheme="majorHAnsi" w:hAnsiTheme="majorHAnsi"/>
                <w:sz w:val="22"/>
                <w:szCs w:val="22"/>
              </w:rPr>
              <w:t>relatively small</w:t>
            </w:r>
            <w:r w:rsidR="004C5FFB">
              <w:rPr>
                <w:rFonts w:asciiTheme="majorHAnsi" w:hAnsiTheme="majorHAnsi"/>
                <w:sz w:val="22"/>
                <w:szCs w:val="22"/>
              </w:rPr>
              <w:t xml:space="preserve"> </w:t>
            </w:r>
            <w:r w:rsidR="003C150B">
              <w:rPr>
                <w:rFonts w:asciiTheme="majorHAnsi" w:hAnsiTheme="majorHAnsi"/>
                <w:sz w:val="22"/>
                <w:szCs w:val="22"/>
              </w:rPr>
              <w:t>staff are internal to the revenue-generating CCA.</w:t>
            </w:r>
            <w:r w:rsidR="00AA1189">
              <w:rPr>
                <w:rFonts w:asciiTheme="majorHAnsi" w:hAnsiTheme="majorHAnsi"/>
                <w:sz w:val="22"/>
                <w:szCs w:val="22"/>
              </w:rPr>
              <w:t xml:space="preserve"> </w:t>
            </w:r>
          </w:p>
        </w:tc>
      </w:tr>
      <w:tr w:rsidR="003C150B" w:rsidRPr="00EA38B1" w14:paraId="5CF434AB" w14:textId="77777777" w:rsidTr="004C5FFB">
        <w:tc>
          <w:tcPr>
            <w:tcW w:w="3209" w:type="dxa"/>
          </w:tcPr>
          <w:p w14:paraId="34FBC851" w14:textId="511D2218" w:rsidR="003C150B" w:rsidRPr="00980141" w:rsidRDefault="00970CB9" w:rsidP="00A25437">
            <w:pPr>
              <w:pStyle w:val="ListParagraph"/>
              <w:numPr>
                <w:ilvl w:val="0"/>
                <w:numId w:val="3"/>
              </w:numPr>
              <w:rPr>
                <w:rFonts w:asciiTheme="majorHAnsi" w:hAnsiTheme="majorHAnsi"/>
                <w:sz w:val="22"/>
                <w:szCs w:val="22"/>
              </w:rPr>
            </w:pPr>
            <w:r w:rsidRPr="00980141">
              <w:rPr>
                <w:rFonts w:asciiTheme="majorHAnsi" w:hAnsiTheme="majorHAnsi"/>
                <w:sz w:val="22"/>
                <w:szCs w:val="22"/>
              </w:rPr>
              <w:t xml:space="preserve">San Jose’s </w:t>
            </w:r>
            <w:r w:rsidR="00A25437">
              <w:rPr>
                <w:rFonts w:asciiTheme="majorHAnsi" w:hAnsiTheme="majorHAnsi"/>
                <w:sz w:val="22"/>
                <w:szCs w:val="22"/>
              </w:rPr>
              <w:t xml:space="preserve">objective is to </w:t>
            </w:r>
            <w:r w:rsidR="003C150B" w:rsidRPr="00980141">
              <w:rPr>
                <w:rFonts w:asciiTheme="majorHAnsi" w:hAnsiTheme="majorHAnsi"/>
                <w:sz w:val="22"/>
                <w:szCs w:val="22"/>
              </w:rPr>
              <w:t xml:space="preserve">purchase cleaner power than PG&amp;E. But </w:t>
            </w:r>
            <w:r w:rsidR="00A20427">
              <w:rPr>
                <w:rFonts w:asciiTheme="majorHAnsi" w:hAnsiTheme="majorHAnsi"/>
                <w:sz w:val="22"/>
                <w:szCs w:val="22"/>
              </w:rPr>
              <w:t xml:space="preserve">can’t </w:t>
            </w:r>
            <w:r w:rsidR="003C150B" w:rsidRPr="00980141">
              <w:rPr>
                <w:rFonts w:asciiTheme="majorHAnsi" w:hAnsiTheme="majorHAnsi"/>
                <w:sz w:val="22"/>
                <w:szCs w:val="22"/>
              </w:rPr>
              <w:t xml:space="preserve">every PG&amp;E customer can purchase 100% renewable power today just by </w:t>
            </w:r>
            <w:r w:rsidR="00A20427">
              <w:rPr>
                <w:rFonts w:asciiTheme="majorHAnsi" w:hAnsiTheme="majorHAnsi"/>
                <w:sz w:val="22"/>
                <w:szCs w:val="22"/>
              </w:rPr>
              <w:t>signing up on the PG&amp;E website?</w:t>
            </w:r>
          </w:p>
        </w:tc>
        <w:tc>
          <w:tcPr>
            <w:tcW w:w="6259" w:type="dxa"/>
          </w:tcPr>
          <w:p w14:paraId="3A40A484" w14:textId="6C105EB9" w:rsidR="003C150B" w:rsidRPr="00A25437" w:rsidRDefault="00A25437" w:rsidP="00253E5A">
            <w:pPr>
              <w:rPr>
                <w:rFonts w:asciiTheme="majorHAnsi" w:hAnsiTheme="majorHAnsi"/>
                <w:sz w:val="22"/>
                <w:szCs w:val="22"/>
              </w:rPr>
            </w:pPr>
            <w:r>
              <w:rPr>
                <w:rFonts w:asciiTheme="majorHAnsi" w:hAnsiTheme="majorHAnsi"/>
                <w:sz w:val="22"/>
                <w:szCs w:val="22"/>
              </w:rPr>
              <w:t>Opt-in programs like the one</w:t>
            </w:r>
            <w:r w:rsidRPr="00A25437">
              <w:rPr>
                <w:rFonts w:asciiTheme="majorHAnsi" w:hAnsiTheme="majorHAnsi"/>
                <w:sz w:val="22"/>
                <w:szCs w:val="22"/>
              </w:rPr>
              <w:t xml:space="preserve"> PG&amp;E</w:t>
            </w:r>
            <w:r>
              <w:rPr>
                <w:rFonts w:asciiTheme="majorHAnsi" w:hAnsiTheme="majorHAnsi"/>
                <w:sz w:val="22"/>
                <w:szCs w:val="22"/>
              </w:rPr>
              <w:t xml:space="preserve"> currently offers usually have fewer than 10 percent of customers opt-in</w:t>
            </w:r>
            <w:r w:rsidR="00E75A82">
              <w:rPr>
                <w:rFonts w:asciiTheme="majorHAnsi" w:hAnsiTheme="majorHAnsi"/>
                <w:sz w:val="22"/>
                <w:szCs w:val="22"/>
              </w:rPr>
              <w:t xml:space="preserve">, </w:t>
            </w:r>
            <w:r w:rsidR="00DA34B4" w:rsidRPr="00253E5A">
              <w:rPr>
                <w:rFonts w:asciiTheme="majorHAnsi" w:hAnsiTheme="majorHAnsi"/>
                <w:sz w:val="22"/>
                <w:szCs w:val="22"/>
              </w:rPr>
              <w:t>and are more expensive than CCA</w:t>
            </w:r>
            <w:r w:rsidR="00E75A82" w:rsidRPr="00253E5A">
              <w:rPr>
                <w:rFonts w:asciiTheme="majorHAnsi" w:hAnsiTheme="majorHAnsi"/>
                <w:sz w:val="22"/>
                <w:szCs w:val="22"/>
              </w:rPr>
              <w:t xml:space="preserve"> prices for comparable renewable percentages</w:t>
            </w:r>
            <w:r>
              <w:rPr>
                <w:rFonts w:asciiTheme="majorHAnsi" w:hAnsiTheme="majorHAnsi"/>
                <w:sz w:val="22"/>
                <w:szCs w:val="22"/>
              </w:rPr>
              <w:t>. R</w:t>
            </w:r>
            <w:r w:rsidRPr="00A25437">
              <w:rPr>
                <w:rFonts w:asciiTheme="majorHAnsi" w:hAnsiTheme="majorHAnsi"/>
                <w:sz w:val="22"/>
                <w:szCs w:val="22"/>
              </w:rPr>
              <w:t>ecent PG&amp;E program</w:t>
            </w:r>
            <w:r>
              <w:rPr>
                <w:rFonts w:asciiTheme="majorHAnsi" w:hAnsiTheme="majorHAnsi"/>
                <w:sz w:val="22"/>
                <w:szCs w:val="22"/>
              </w:rPr>
              <w:t>s like the one they now offer</w:t>
            </w:r>
            <w:r w:rsidRPr="00A25437">
              <w:rPr>
                <w:rFonts w:asciiTheme="majorHAnsi" w:hAnsiTheme="majorHAnsi"/>
                <w:sz w:val="22"/>
                <w:szCs w:val="22"/>
              </w:rPr>
              <w:t xml:space="preserve"> are a result of competition from CCAs.</w:t>
            </w:r>
            <w:r>
              <w:rPr>
                <w:rFonts w:asciiTheme="majorHAnsi" w:hAnsiTheme="majorHAnsi"/>
                <w:sz w:val="22"/>
                <w:szCs w:val="22"/>
              </w:rPr>
              <w:t xml:space="preserve"> O</w:t>
            </w:r>
            <w:r w:rsidRPr="00A25437">
              <w:rPr>
                <w:rFonts w:asciiTheme="majorHAnsi" w:hAnsiTheme="majorHAnsi"/>
                <w:sz w:val="22"/>
                <w:szCs w:val="22"/>
              </w:rPr>
              <w:t xml:space="preserve">ne of </w:t>
            </w:r>
            <w:r>
              <w:rPr>
                <w:rFonts w:asciiTheme="majorHAnsi" w:hAnsiTheme="majorHAnsi"/>
                <w:sz w:val="22"/>
                <w:szCs w:val="22"/>
              </w:rPr>
              <w:t>the</w:t>
            </w:r>
            <w:r w:rsidRPr="00A25437">
              <w:rPr>
                <w:rFonts w:asciiTheme="majorHAnsi" w:hAnsiTheme="majorHAnsi"/>
                <w:sz w:val="22"/>
                <w:szCs w:val="22"/>
              </w:rPr>
              <w:t xml:space="preserve"> goals for CCA</w:t>
            </w:r>
            <w:r>
              <w:rPr>
                <w:rFonts w:asciiTheme="majorHAnsi" w:hAnsiTheme="majorHAnsi"/>
                <w:sz w:val="22"/>
                <w:szCs w:val="22"/>
              </w:rPr>
              <w:t>s is a</w:t>
            </w:r>
            <w:r w:rsidRPr="00A25437">
              <w:rPr>
                <w:rFonts w:asciiTheme="majorHAnsi" w:hAnsiTheme="majorHAnsi"/>
                <w:sz w:val="22"/>
                <w:szCs w:val="22"/>
              </w:rPr>
              <w:t xml:space="preserve"> higher percent of renewable energy in the power mix</w:t>
            </w:r>
            <w:r>
              <w:rPr>
                <w:rFonts w:asciiTheme="majorHAnsi" w:hAnsiTheme="majorHAnsi"/>
                <w:sz w:val="22"/>
                <w:szCs w:val="22"/>
              </w:rPr>
              <w:t>. Additionally, by e</w:t>
            </w:r>
            <w:r w:rsidR="003C150B" w:rsidRPr="00A25437">
              <w:rPr>
                <w:rFonts w:asciiTheme="majorHAnsi" w:hAnsiTheme="majorHAnsi"/>
                <w:sz w:val="22"/>
                <w:szCs w:val="22"/>
              </w:rPr>
              <w:t xml:space="preserve">xercising </w:t>
            </w:r>
            <w:r>
              <w:rPr>
                <w:rFonts w:asciiTheme="majorHAnsi" w:hAnsiTheme="majorHAnsi"/>
                <w:sz w:val="22"/>
                <w:szCs w:val="22"/>
              </w:rPr>
              <w:t xml:space="preserve">their </w:t>
            </w:r>
            <w:r w:rsidR="003C150B" w:rsidRPr="00A25437">
              <w:rPr>
                <w:rFonts w:asciiTheme="majorHAnsi" w:hAnsiTheme="majorHAnsi"/>
                <w:sz w:val="22"/>
                <w:szCs w:val="22"/>
              </w:rPr>
              <w:t>statutory authority</w:t>
            </w:r>
            <w:r>
              <w:rPr>
                <w:rFonts w:asciiTheme="majorHAnsi" w:hAnsiTheme="majorHAnsi"/>
                <w:sz w:val="22"/>
                <w:szCs w:val="22"/>
              </w:rPr>
              <w:t>,</w:t>
            </w:r>
            <w:r w:rsidR="003C150B" w:rsidRPr="00A25437">
              <w:rPr>
                <w:rFonts w:asciiTheme="majorHAnsi" w:hAnsiTheme="majorHAnsi"/>
                <w:sz w:val="22"/>
                <w:szCs w:val="22"/>
              </w:rPr>
              <w:t xml:space="preserve"> CCAs </w:t>
            </w:r>
            <w:r w:rsidR="003C150B" w:rsidRPr="002153A7">
              <w:rPr>
                <w:rFonts w:asciiTheme="majorHAnsi" w:hAnsiTheme="majorHAnsi"/>
                <w:sz w:val="22"/>
                <w:szCs w:val="22"/>
              </w:rPr>
              <w:t>bring many other opportunities and benefits</w:t>
            </w:r>
            <w:r w:rsidRPr="002153A7">
              <w:rPr>
                <w:rFonts w:asciiTheme="majorHAnsi" w:hAnsiTheme="majorHAnsi"/>
                <w:sz w:val="22"/>
                <w:szCs w:val="22"/>
              </w:rPr>
              <w:t xml:space="preserve"> to their communities</w:t>
            </w:r>
            <w:r w:rsidR="003C150B" w:rsidRPr="002153A7">
              <w:rPr>
                <w:rFonts w:asciiTheme="majorHAnsi" w:hAnsiTheme="majorHAnsi"/>
                <w:sz w:val="22"/>
                <w:szCs w:val="22"/>
              </w:rPr>
              <w:t xml:space="preserve">. </w:t>
            </w:r>
          </w:p>
        </w:tc>
      </w:tr>
      <w:tr w:rsidR="003C150B" w:rsidRPr="00EA38B1" w14:paraId="239276EF" w14:textId="77777777" w:rsidTr="004C5FFB">
        <w:tc>
          <w:tcPr>
            <w:tcW w:w="3209" w:type="dxa"/>
          </w:tcPr>
          <w:p w14:paraId="526525AA" w14:textId="2F3DEFDA" w:rsidR="003C150B" w:rsidRPr="00980141" w:rsidRDefault="00A20427" w:rsidP="00A20427">
            <w:pPr>
              <w:pStyle w:val="ListParagraph"/>
              <w:numPr>
                <w:ilvl w:val="0"/>
                <w:numId w:val="3"/>
              </w:numPr>
              <w:rPr>
                <w:rFonts w:asciiTheme="majorHAnsi" w:hAnsiTheme="majorHAnsi"/>
              </w:rPr>
            </w:pPr>
            <w:r>
              <w:rPr>
                <w:rFonts w:asciiTheme="majorHAnsi" w:hAnsiTheme="majorHAnsi"/>
                <w:sz w:val="22"/>
                <w:szCs w:val="22"/>
              </w:rPr>
              <w:t>Does enough u</w:t>
            </w:r>
            <w:r w:rsidR="003C150B" w:rsidRPr="00980141">
              <w:rPr>
                <w:rFonts w:asciiTheme="majorHAnsi" w:hAnsiTheme="majorHAnsi"/>
                <w:sz w:val="22"/>
                <w:szCs w:val="22"/>
              </w:rPr>
              <w:t>tility scale electric power</w:t>
            </w:r>
            <w:r w:rsidR="003C150B" w:rsidRPr="00980141">
              <w:rPr>
                <w:sz w:val="23"/>
                <w:szCs w:val="23"/>
              </w:rPr>
              <w:t xml:space="preserve"> </w:t>
            </w:r>
            <w:r w:rsidR="003C150B" w:rsidRPr="00980141">
              <w:rPr>
                <w:rFonts w:asciiTheme="majorHAnsi" w:hAnsiTheme="majorHAnsi"/>
                <w:sz w:val="22"/>
                <w:szCs w:val="22"/>
              </w:rPr>
              <w:t>storage exist</w:t>
            </w:r>
            <w:r>
              <w:rPr>
                <w:rFonts w:asciiTheme="majorHAnsi" w:hAnsiTheme="majorHAnsi"/>
                <w:sz w:val="22"/>
                <w:szCs w:val="22"/>
              </w:rPr>
              <w:t xml:space="preserve"> yet?</w:t>
            </w:r>
            <w:r w:rsidR="003C150B" w:rsidRPr="00980141">
              <w:rPr>
                <w:rFonts w:asciiTheme="majorHAnsi" w:hAnsiTheme="majorHAnsi"/>
                <w:sz w:val="22"/>
                <w:szCs w:val="22"/>
              </w:rPr>
              <w:t xml:space="preserve"> The first 20MW battery storage facility has just been commissioned in a state that will </w:t>
            </w:r>
            <w:r w:rsidR="00E26139" w:rsidRPr="00980141">
              <w:rPr>
                <w:rFonts w:asciiTheme="majorHAnsi" w:hAnsiTheme="majorHAnsi"/>
                <w:sz w:val="22"/>
                <w:szCs w:val="22"/>
              </w:rPr>
              <w:t>need</w:t>
            </w:r>
            <w:r w:rsidR="003C150B" w:rsidRPr="00980141">
              <w:rPr>
                <w:rFonts w:asciiTheme="majorHAnsi" w:hAnsiTheme="majorHAnsi"/>
                <w:sz w:val="22"/>
                <w:szCs w:val="22"/>
              </w:rPr>
              <w:t xml:space="preserve"> 74,100MW of capacity to assure reliability.</w:t>
            </w:r>
          </w:p>
        </w:tc>
        <w:tc>
          <w:tcPr>
            <w:tcW w:w="6259" w:type="dxa"/>
          </w:tcPr>
          <w:p w14:paraId="180183CA" w14:textId="2C85832D" w:rsidR="00E75A82" w:rsidRPr="00253E5A" w:rsidRDefault="003C150B" w:rsidP="00E75A82">
            <w:pPr>
              <w:rPr>
                <w:rFonts w:asciiTheme="majorHAnsi" w:hAnsiTheme="majorHAnsi"/>
                <w:sz w:val="22"/>
                <w:szCs w:val="22"/>
              </w:rPr>
            </w:pPr>
            <w:r w:rsidRPr="007B4403">
              <w:rPr>
                <w:rFonts w:asciiTheme="majorHAnsi" w:hAnsiTheme="majorHAnsi"/>
                <w:sz w:val="22"/>
                <w:szCs w:val="22"/>
              </w:rPr>
              <w:t>Utility-scale storage of a variety of forms has been in existence for many years (e.g., pumped hydro-storage, thermal, compressed air).</w:t>
            </w:r>
            <w:r w:rsidRPr="00353881">
              <w:rPr>
                <w:rStyle w:val="FootnoteReference"/>
                <w:rFonts w:asciiTheme="majorHAnsi" w:hAnsiTheme="majorHAnsi"/>
                <w:sz w:val="22"/>
                <w:szCs w:val="22"/>
              </w:rPr>
              <w:footnoteReference w:id="10"/>
            </w:r>
            <w:r w:rsidRPr="00353881">
              <w:rPr>
                <w:rStyle w:val="FootnoteReference"/>
              </w:rPr>
              <w:t xml:space="preserve"> </w:t>
            </w:r>
            <w:r w:rsidRPr="007B4403">
              <w:rPr>
                <w:rFonts w:asciiTheme="majorHAnsi" w:hAnsiTheme="majorHAnsi"/>
                <w:sz w:val="22"/>
                <w:szCs w:val="22"/>
              </w:rPr>
              <w:t>New technology options are emerging r</w:t>
            </w:r>
            <w:r w:rsidR="002153A7">
              <w:rPr>
                <w:rFonts w:asciiTheme="majorHAnsi" w:hAnsiTheme="majorHAnsi"/>
                <w:sz w:val="22"/>
                <w:szCs w:val="22"/>
              </w:rPr>
              <w:t>apidly while the cost of these technologies is</w:t>
            </w:r>
            <w:r w:rsidRPr="007B4403">
              <w:rPr>
                <w:rFonts w:asciiTheme="majorHAnsi" w:hAnsiTheme="majorHAnsi"/>
                <w:sz w:val="22"/>
                <w:szCs w:val="22"/>
              </w:rPr>
              <w:t xml:space="preserve"> dropping rapidly.</w:t>
            </w:r>
            <w:r w:rsidR="007D4CAB">
              <w:rPr>
                <w:rFonts w:asciiTheme="majorHAnsi" w:hAnsiTheme="majorHAnsi"/>
                <w:sz w:val="22"/>
                <w:szCs w:val="22"/>
              </w:rPr>
              <w:t xml:space="preserve"> </w:t>
            </w:r>
          </w:p>
          <w:p w14:paraId="0D62D502" w14:textId="089F7190" w:rsidR="003C150B" w:rsidRPr="007B4403" w:rsidRDefault="00E75A82" w:rsidP="00E75A82">
            <w:pPr>
              <w:rPr>
                <w:rFonts w:asciiTheme="majorHAnsi" w:hAnsiTheme="majorHAnsi"/>
                <w:sz w:val="22"/>
                <w:szCs w:val="22"/>
              </w:rPr>
            </w:pPr>
            <w:r w:rsidRPr="00253E5A">
              <w:rPr>
                <w:rFonts w:asciiTheme="majorHAnsi" w:hAnsiTheme="majorHAnsi"/>
                <w:sz w:val="22"/>
                <w:szCs w:val="22"/>
              </w:rPr>
              <w:t>Here are 2 existing examples of s</w:t>
            </w:r>
            <w:r w:rsidR="00E26139">
              <w:rPr>
                <w:rFonts w:asciiTheme="majorHAnsi" w:hAnsiTheme="majorHAnsi"/>
                <w:sz w:val="22"/>
                <w:szCs w:val="22"/>
              </w:rPr>
              <w:t>torage to bridge intermittency:</w:t>
            </w:r>
            <w:r w:rsidRPr="00253E5A">
              <w:rPr>
                <w:rFonts w:asciiTheme="majorHAnsi" w:hAnsiTheme="majorHAnsi"/>
                <w:sz w:val="22"/>
                <w:szCs w:val="22"/>
              </w:rPr>
              <w:br/>
              <w:t xml:space="preserve">- </w:t>
            </w:r>
            <w:hyperlink r:id="rId14" w:history="1">
              <w:r w:rsidRPr="00253E5A">
                <w:rPr>
                  <w:rFonts w:asciiTheme="majorHAnsi" w:hAnsiTheme="majorHAnsi"/>
                  <w:sz w:val="22"/>
                  <w:szCs w:val="22"/>
                  <w:u w:val="single"/>
                </w:rPr>
                <w:t>The Helms pumped storage facility</w:t>
              </w:r>
            </w:hyperlink>
            <w:r w:rsidRPr="00253E5A">
              <w:rPr>
                <w:rFonts w:asciiTheme="majorHAnsi" w:hAnsiTheme="majorHAnsi"/>
                <w:sz w:val="22"/>
                <w:szCs w:val="22"/>
              </w:rPr>
              <w:t xml:space="preserve">. </w:t>
            </w:r>
            <w:r w:rsidRPr="00253E5A">
              <w:rPr>
                <w:rFonts w:asciiTheme="majorHAnsi" w:hAnsiTheme="majorHAnsi"/>
                <w:sz w:val="22"/>
                <w:szCs w:val="22"/>
              </w:rPr>
              <w:br/>
              <w:t xml:space="preserve">- SCE just installed a </w:t>
            </w:r>
            <w:hyperlink r:id="rId15" w:history="1">
              <w:r w:rsidRPr="00253E5A">
                <w:rPr>
                  <w:rFonts w:asciiTheme="majorHAnsi" w:hAnsiTheme="majorHAnsi"/>
                  <w:sz w:val="22"/>
                  <w:szCs w:val="22"/>
                  <w:u w:val="single"/>
                </w:rPr>
                <w:t>utility-scale battery storage facility</w:t>
              </w:r>
            </w:hyperlink>
            <w:r w:rsidRPr="00253E5A">
              <w:rPr>
                <w:rFonts w:asciiTheme="majorHAnsi" w:hAnsiTheme="majorHAnsi"/>
                <w:sz w:val="22"/>
                <w:szCs w:val="22"/>
              </w:rPr>
              <w:t>.</w:t>
            </w:r>
            <w:r w:rsidRPr="00E75A82">
              <w:rPr>
                <w:rFonts w:asciiTheme="majorHAnsi" w:hAnsiTheme="majorHAnsi"/>
                <w:sz w:val="22"/>
                <w:szCs w:val="22"/>
              </w:rPr>
              <w:t xml:space="preserve"> </w:t>
            </w:r>
          </w:p>
        </w:tc>
      </w:tr>
      <w:tr w:rsidR="003C150B" w:rsidRPr="00EA38B1" w14:paraId="2E489C6B" w14:textId="77777777" w:rsidTr="004C5FFB">
        <w:tc>
          <w:tcPr>
            <w:tcW w:w="3209" w:type="dxa"/>
          </w:tcPr>
          <w:p w14:paraId="44E9740F" w14:textId="47DF8B82" w:rsidR="003C150B" w:rsidRPr="00980141" w:rsidRDefault="00A20427" w:rsidP="00A20427">
            <w:pPr>
              <w:pStyle w:val="ListParagraph"/>
              <w:numPr>
                <w:ilvl w:val="0"/>
                <w:numId w:val="3"/>
              </w:numPr>
              <w:rPr>
                <w:rFonts w:asciiTheme="majorHAnsi" w:hAnsiTheme="majorHAnsi"/>
                <w:sz w:val="22"/>
                <w:szCs w:val="22"/>
              </w:rPr>
            </w:pPr>
            <w:r>
              <w:rPr>
                <w:rFonts w:asciiTheme="majorHAnsi" w:hAnsiTheme="majorHAnsi"/>
                <w:sz w:val="22"/>
                <w:szCs w:val="22"/>
              </w:rPr>
              <w:t>Should we worry that r</w:t>
            </w:r>
            <w:r w:rsidR="0054362D" w:rsidRPr="00980141">
              <w:rPr>
                <w:rFonts w:asciiTheme="majorHAnsi" w:hAnsiTheme="majorHAnsi"/>
                <w:sz w:val="22"/>
                <w:szCs w:val="22"/>
              </w:rPr>
              <w:t>ate savings</w:t>
            </w:r>
            <w:r w:rsidR="003C150B" w:rsidRPr="00980141">
              <w:rPr>
                <w:rFonts w:asciiTheme="majorHAnsi" w:hAnsiTheme="majorHAnsi"/>
                <w:sz w:val="22"/>
                <w:szCs w:val="22"/>
              </w:rPr>
              <w:t xml:space="preserve"> benefit</w:t>
            </w:r>
            <w:r w:rsidR="0054362D" w:rsidRPr="00980141">
              <w:rPr>
                <w:rFonts w:asciiTheme="majorHAnsi" w:hAnsiTheme="majorHAnsi"/>
                <w:sz w:val="22"/>
                <w:szCs w:val="22"/>
              </w:rPr>
              <w:t>s</w:t>
            </w:r>
            <w:r w:rsidR="003C150B" w:rsidRPr="00980141">
              <w:rPr>
                <w:rFonts w:asciiTheme="majorHAnsi" w:hAnsiTheme="majorHAnsi"/>
                <w:sz w:val="22"/>
                <w:szCs w:val="22"/>
              </w:rPr>
              <w:t xml:space="preserve"> of the CCA will evaporate when the rates are changed to meet new realities of the energy </w:t>
            </w:r>
            <w:r>
              <w:rPr>
                <w:rFonts w:asciiTheme="majorHAnsi" w:hAnsiTheme="majorHAnsi"/>
                <w:sz w:val="22"/>
                <w:szCs w:val="22"/>
              </w:rPr>
              <w:t>market or political expediency?</w:t>
            </w:r>
          </w:p>
        </w:tc>
        <w:tc>
          <w:tcPr>
            <w:tcW w:w="6259" w:type="dxa"/>
          </w:tcPr>
          <w:p w14:paraId="0585B29B" w14:textId="77777777" w:rsidR="003C150B" w:rsidRDefault="003C150B" w:rsidP="00DA34B4">
            <w:pPr>
              <w:rPr>
                <w:rFonts w:asciiTheme="majorHAnsi" w:hAnsiTheme="majorHAnsi"/>
                <w:sz w:val="22"/>
                <w:szCs w:val="22"/>
              </w:rPr>
            </w:pPr>
            <w:r w:rsidRPr="007B4403">
              <w:rPr>
                <w:rFonts w:asciiTheme="majorHAnsi" w:hAnsiTheme="majorHAnsi"/>
                <w:sz w:val="22"/>
                <w:szCs w:val="22"/>
              </w:rPr>
              <w:t xml:space="preserve">CCAs </w:t>
            </w:r>
            <w:r>
              <w:rPr>
                <w:rFonts w:asciiTheme="majorHAnsi" w:hAnsiTheme="majorHAnsi"/>
                <w:sz w:val="22"/>
                <w:szCs w:val="22"/>
              </w:rPr>
              <w:t>have demonstrated over the past seven years that they are able to keep rates competitive with IOU rates</w:t>
            </w:r>
            <w:r w:rsidR="00E7686A">
              <w:rPr>
                <w:rFonts w:asciiTheme="majorHAnsi" w:hAnsiTheme="majorHAnsi"/>
                <w:sz w:val="22"/>
                <w:szCs w:val="22"/>
              </w:rPr>
              <w:t>, as the</w:t>
            </w:r>
            <w:r>
              <w:rPr>
                <w:rFonts w:asciiTheme="majorHAnsi" w:hAnsiTheme="majorHAnsi"/>
                <w:sz w:val="22"/>
                <w:szCs w:val="22"/>
              </w:rPr>
              <w:t xml:space="preserve"> joint rate comparison card</w:t>
            </w:r>
            <w:r w:rsidR="00E7686A">
              <w:rPr>
                <w:rFonts w:asciiTheme="majorHAnsi" w:hAnsiTheme="majorHAnsi"/>
                <w:sz w:val="22"/>
                <w:szCs w:val="22"/>
              </w:rPr>
              <w:t>s</w:t>
            </w:r>
            <w:r>
              <w:rPr>
                <w:rFonts w:asciiTheme="majorHAnsi" w:hAnsiTheme="majorHAnsi"/>
                <w:sz w:val="22"/>
                <w:szCs w:val="22"/>
              </w:rPr>
              <w:t xml:space="preserve"> of existing CCA</w:t>
            </w:r>
            <w:r w:rsidR="00E7686A">
              <w:rPr>
                <w:rFonts w:asciiTheme="majorHAnsi" w:hAnsiTheme="majorHAnsi"/>
                <w:sz w:val="22"/>
                <w:szCs w:val="22"/>
              </w:rPr>
              <w:t>s show</w:t>
            </w:r>
            <w:r>
              <w:rPr>
                <w:rFonts w:asciiTheme="majorHAnsi" w:hAnsiTheme="majorHAnsi"/>
                <w:sz w:val="22"/>
                <w:szCs w:val="22"/>
              </w:rPr>
              <w:t>.</w:t>
            </w:r>
            <w:r w:rsidR="00346EC8">
              <w:rPr>
                <w:rFonts w:asciiTheme="majorHAnsi" w:hAnsiTheme="majorHAnsi"/>
                <w:sz w:val="22"/>
                <w:szCs w:val="22"/>
              </w:rPr>
              <w:t xml:space="preserve"> </w:t>
            </w:r>
            <w:r w:rsidR="00DA34B4" w:rsidRPr="00253E5A">
              <w:rPr>
                <w:rFonts w:asciiTheme="majorHAnsi" w:hAnsiTheme="majorHAnsi"/>
                <w:sz w:val="22"/>
                <w:szCs w:val="22"/>
              </w:rPr>
              <w:t>As CCAs expand their political leverage will also expand</w:t>
            </w:r>
            <w:r w:rsidR="00E26139">
              <w:rPr>
                <w:rFonts w:asciiTheme="majorHAnsi" w:hAnsiTheme="majorHAnsi"/>
                <w:sz w:val="22"/>
                <w:szCs w:val="22"/>
              </w:rPr>
              <w:t xml:space="preserve"> (CalCCA)</w:t>
            </w:r>
            <w:r w:rsidR="00DA34B4" w:rsidRPr="00253E5A">
              <w:rPr>
                <w:rFonts w:asciiTheme="majorHAnsi" w:hAnsiTheme="majorHAnsi"/>
                <w:sz w:val="22"/>
                <w:szCs w:val="22"/>
              </w:rPr>
              <w:t>.</w:t>
            </w:r>
            <w:r w:rsidR="00DA34B4">
              <w:rPr>
                <w:rFonts w:asciiTheme="majorHAnsi" w:hAnsiTheme="majorHAnsi"/>
                <w:sz w:val="22"/>
                <w:szCs w:val="22"/>
              </w:rPr>
              <w:t xml:space="preserve"> </w:t>
            </w:r>
            <w:r w:rsidR="00346EC8">
              <w:rPr>
                <w:rFonts w:asciiTheme="majorHAnsi" w:hAnsiTheme="majorHAnsi"/>
                <w:sz w:val="22"/>
                <w:szCs w:val="22"/>
              </w:rPr>
              <w:t>Political expediency will always exert pressure to keep CCA rates competitive</w:t>
            </w:r>
            <w:r w:rsidR="00DA34B4">
              <w:rPr>
                <w:rFonts w:asciiTheme="majorHAnsi" w:hAnsiTheme="majorHAnsi"/>
                <w:sz w:val="22"/>
                <w:szCs w:val="22"/>
              </w:rPr>
              <w:t>.</w:t>
            </w:r>
            <w:r w:rsidR="001B3A97" w:rsidRPr="009D25AE">
              <w:rPr>
                <w:rFonts w:asciiTheme="majorHAnsi" w:hAnsiTheme="majorHAnsi"/>
                <w:sz w:val="22"/>
                <w:szCs w:val="22"/>
              </w:rPr>
              <w:t xml:space="preserve"> </w:t>
            </w:r>
          </w:p>
          <w:p w14:paraId="4B1636FE" w14:textId="76274CA4" w:rsidR="00C0669A" w:rsidRPr="007B4403" w:rsidRDefault="00C0669A" w:rsidP="00DA34B4">
            <w:pPr>
              <w:rPr>
                <w:rFonts w:asciiTheme="majorHAnsi" w:hAnsiTheme="majorHAnsi"/>
                <w:sz w:val="22"/>
                <w:szCs w:val="22"/>
              </w:rPr>
            </w:pPr>
          </w:p>
        </w:tc>
      </w:tr>
      <w:tr w:rsidR="00C0669A" w:rsidRPr="00EA38B1" w14:paraId="498C65D2" w14:textId="77777777" w:rsidTr="004C5FFB">
        <w:tc>
          <w:tcPr>
            <w:tcW w:w="3209" w:type="dxa"/>
          </w:tcPr>
          <w:p w14:paraId="759417B7" w14:textId="637FFE76" w:rsidR="00C0669A" w:rsidRDefault="00C0669A" w:rsidP="004B0707">
            <w:pPr>
              <w:pStyle w:val="ListParagraph"/>
              <w:numPr>
                <w:ilvl w:val="0"/>
                <w:numId w:val="3"/>
              </w:numPr>
              <w:rPr>
                <w:rFonts w:asciiTheme="majorHAnsi" w:hAnsiTheme="majorHAnsi"/>
                <w:sz w:val="22"/>
                <w:szCs w:val="22"/>
              </w:rPr>
            </w:pPr>
            <w:r>
              <w:rPr>
                <w:rFonts w:asciiTheme="majorHAnsi" w:hAnsiTheme="majorHAnsi"/>
                <w:sz w:val="22"/>
                <w:szCs w:val="22"/>
              </w:rPr>
              <w:t xml:space="preserve">Should we worry that the PCIA (Exit Fee) will </w:t>
            </w:r>
            <w:r w:rsidR="004B0707">
              <w:rPr>
                <w:rFonts w:asciiTheme="majorHAnsi" w:hAnsiTheme="majorHAnsi"/>
                <w:sz w:val="22"/>
                <w:szCs w:val="22"/>
              </w:rPr>
              <w:t xml:space="preserve">be allowed by the CPUC to </w:t>
            </w:r>
            <w:r>
              <w:rPr>
                <w:rFonts w:asciiTheme="majorHAnsi" w:hAnsiTheme="majorHAnsi"/>
                <w:sz w:val="22"/>
                <w:szCs w:val="22"/>
              </w:rPr>
              <w:t xml:space="preserve">go </w:t>
            </w:r>
            <w:r>
              <w:rPr>
                <w:rFonts w:asciiTheme="majorHAnsi" w:hAnsiTheme="majorHAnsi"/>
                <w:sz w:val="22"/>
                <w:szCs w:val="22"/>
              </w:rPr>
              <w:lastRenderedPageBreak/>
              <w:t xml:space="preserve">up drastically? </w:t>
            </w:r>
          </w:p>
        </w:tc>
        <w:tc>
          <w:tcPr>
            <w:tcW w:w="6259" w:type="dxa"/>
          </w:tcPr>
          <w:p w14:paraId="3595575C" w14:textId="0AE91A6E" w:rsidR="00C0669A" w:rsidRPr="00C0669A" w:rsidRDefault="005069BC" w:rsidP="00C0669A">
            <w:pPr>
              <w:rPr>
                <w:rFonts w:asciiTheme="majorHAnsi" w:hAnsiTheme="majorHAnsi"/>
                <w:sz w:val="22"/>
                <w:szCs w:val="22"/>
              </w:rPr>
            </w:pPr>
            <w:r>
              <w:rPr>
                <w:rFonts w:asciiTheme="majorHAnsi" w:hAnsiTheme="majorHAnsi"/>
                <w:sz w:val="22"/>
                <w:szCs w:val="22"/>
              </w:rPr>
              <w:lastRenderedPageBreak/>
              <w:t>PCIA charges, and potential changes, are important and prud</w:t>
            </w:r>
            <w:r w:rsidR="004B0707">
              <w:rPr>
                <w:rFonts w:asciiTheme="majorHAnsi" w:hAnsiTheme="majorHAnsi"/>
                <w:sz w:val="22"/>
                <w:szCs w:val="22"/>
              </w:rPr>
              <w:t>ent for CCAs to monitor closely.</w:t>
            </w:r>
            <w:r>
              <w:rPr>
                <w:rFonts w:asciiTheme="majorHAnsi" w:hAnsiTheme="majorHAnsi"/>
                <w:sz w:val="22"/>
                <w:szCs w:val="22"/>
              </w:rPr>
              <w:t xml:space="preserve"> </w:t>
            </w:r>
            <w:r w:rsidR="004B0707">
              <w:rPr>
                <w:rFonts w:asciiTheme="majorHAnsi" w:hAnsiTheme="majorHAnsi"/>
                <w:sz w:val="22"/>
                <w:szCs w:val="22"/>
              </w:rPr>
              <w:t xml:space="preserve">The lack of transparency in the calculation of the Power Charge Indifference Adjustment (PCIA) is a </w:t>
            </w:r>
            <w:r w:rsidR="004B0707">
              <w:rPr>
                <w:rFonts w:asciiTheme="majorHAnsi" w:hAnsiTheme="majorHAnsi"/>
                <w:sz w:val="22"/>
                <w:szCs w:val="22"/>
              </w:rPr>
              <w:lastRenderedPageBreak/>
              <w:t xml:space="preserve">point of concern expressed by CCAs, and a working group has driven an agreement for improvements in that area. </w:t>
            </w:r>
            <w:r>
              <w:rPr>
                <w:rFonts w:asciiTheme="majorHAnsi" w:hAnsiTheme="majorHAnsi"/>
                <w:sz w:val="22"/>
                <w:szCs w:val="22"/>
              </w:rPr>
              <w:t xml:space="preserve">The 3 </w:t>
            </w:r>
            <w:r w:rsidRPr="005069BC">
              <w:rPr>
                <w:rFonts w:asciiTheme="majorHAnsi" w:hAnsiTheme="majorHAnsi"/>
                <w:sz w:val="22"/>
                <w:szCs w:val="22"/>
              </w:rPr>
              <w:t>IOUs recent</w:t>
            </w:r>
            <w:r>
              <w:rPr>
                <w:rFonts w:asciiTheme="majorHAnsi" w:hAnsiTheme="majorHAnsi"/>
                <w:sz w:val="22"/>
                <w:szCs w:val="22"/>
              </w:rPr>
              <w:t>ly</w:t>
            </w:r>
            <w:r w:rsidR="004B0707">
              <w:rPr>
                <w:rFonts w:asciiTheme="majorHAnsi" w:hAnsiTheme="majorHAnsi"/>
                <w:sz w:val="22"/>
                <w:szCs w:val="22"/>
              </w:rPr>
              <w:t xml:space="preserve"> (April 2017)</w:t>
            </w:r>
            <w:r>
              <w:rPr>
                <w:rFonts w:asciiTheme="majorHAnsi" w:hAnsiTheme="majorHAnsi"/>
                <w:sz w:val="22"/>
                <w:szCs w:val="22"/>
              </w:rPr>
              <w:t xml:space="preserve"> filed an </w:t>
            </w:r>
            <w:r w:rsidRPr="005069BC">
              <w:rPr>
                <w:rFonts w:asciiTheme="majorHAnsi" w:hAnsiTheme="majorHAnsi"/>
                <w:sz w:val="22"/>
                <w:szCs w:val="22"/>
              </w:rPr>
              <w:t>application to the CPUC to replace the Power Charge Indifference Adjustment (PCIA) with a new mechanism referred to as the Portfolio Allocation Mechanism (PAM). </w:t>
            </w:r>
            <w:r>
              <w:rPr>
                <w:rFonts w:asciiTheme="majorHAnsi" w:hAnsiTheme="majorHAnsi"/>
                <w:sz w:val="22"/>
                <w:szCs w:val="22"/>
              </w:rPr>
              <w:t>They assert that CCA customers are not paying their fair share of the power purchased on their behalf, and propose a possible fix. T</w:t>
            </w:r>
            <w:r w:rsidR="00C0669A" w:rsidRPr="00C0669A">
              <w:rPr>
                <w:rFonts w:asciiTheme="majorHAnsi" w:hAnsiTheme="majorHAnsi"/>
                <w:sz w:val="22"/>
                <w:szCs w:val="22"/>
              </w:rPr>
              <w:t>her</w:t>
            </w:r>
            <w:r w:rsidR="004B0707">
              <w:rPr>
                <w:rFonts w:asciiTheme="majorHAnsi" w:hAnsiTheme="majorHAnsi"/>
                <w:sz w:val="22"/>
                <w:szCs w:val="22"/>
              </w:rPr>
              <w:t>e are many questions around this</w:t>
            </w:r>
            <w:r w:rsidR="00C0669A" w:rsidRPr="00C0669A">
              <w:rPr>
                <w:rFonts w:asciiTheme="majorHAnsi" w:hAnsiTheme="majorHAnsi"/>
                <w:sz w:val="22"/>
                <w:szCs w:val="22"/>
              </w:rPr>
              <w:t xml:space="preserve"> new proposal</w:t>
            </w:r>
            <w:r w:rsidR="004B0707">
              <w:rPr>
                <w:rFonts w:asciiTheme="majorHAnsi" w:hAnsiTheme="majorHAnsi"/>
                <w:sz w:val="22"/>
                <w:szCs w:val="22"/>
              </w:rPr>
              <w:t xml:space="preserve"> </w:t>
            </w:r>
            <w:r w:rsidR="00C0669A" w:rsidRPr="00C0669A">
              <w:rPr>
                <w:rFonts w:asciiTheme="majorHAnsi" w:hAnsiTheme="majorHAnsi"/>
                <w:sz w:val="22"/>
                <w:szCs w:val="22"/>
              </w:rPr>
              <w:t>that will be considered and reviewed through an extensive CPUC vetting process that would include rounds of hearings and opportunities for all interested stakeholders to be engaged in the decision-making process.</w:t>
            </w:r>
          </w:p>
          <w:p w14:paraId="3D453711" w14:textId="77777777" w:rsidR="00C0669A" w:rsidRPr="00C0669A" w:rsidRDefault="00C0669A" w:rsidP="00C0669A">
            <w:pPr>
              <w:rPr>
                <w:rFonts w:asciiTheme="majorHAnsi" w:hAnsiTheme="majorHAnsi"/>
                <w:sz w:val="22"/>
                <w:szCs w:val="22"/>
              </w:rPr>
            </w:pPr>
            <w:r w:rsidRPr="00C0669A">
              <w:rPr>
                <w:rFonts w:asciiTheme="majorHAnsi" w:hAnsiTheme="majorHAnsi"/>
                <w:sz w:val="22"/>
                <w:szCs w:val="22"/>
              </w:rPr>
              <w:t> </w:t>
            </w:r>
          </w:p>
          <w:p w14:paraId="235E6E6E" w14:textId="63AD6F52" w:rsidR="00C0669A" w:rsidRPr="00C0669A" w:rsidRDefault="004B0707" w:rsidP="00C0669A">
            <w:pPr>
              <w:rPr>
                <w:rFonts w:asciiTheme="majorHAnsi" w:hAnsiTheme="majorHAnsi"/>
                <w:sz w:val="22"/>
                <w:szCs w:val="22"/>
              </w:rPr>
            </w:pPr>
            <w:r>
              <w:rPr>
                <w:rFonts w:asciiTheme="majorHAnsi" w:hAnsiTheme="majorHAnsi"/>
                <w:sz w:val="22"/>
                <w:szCs w:val="22"/>
              </w:rPr>
              <w:t>Since existing CCA</w:t>
            </w:r>
            <w:r w:rsidR="00C0669A" w:rsidRPr="00C0669A">
              <w:rPr>
                <w:rFonts w:asciiTheme="majorHAnsi" w:hAnsiTheme="majorHAnsi"/>
                <w:sz w:val="22"/>
                <w:szCs w:val="22"/>
              </w:rPr>
              <w:t>s and their allies already have been calling for a fix to the problems of the PCIA, including asking the CPUC to open a regulatory proceeding on this topic, this IOU application is a welcome impetus to move the CPUC to finally initiate the regulatory process to resolve these issues. </w:t>
            </w:r>
          </w:p>
          <w:p w14:paraId="78BF30F9" w14:textId="77777777" w:rsidR="00C0669A" w:rsidRPr="00C0669A" w:rsidRDefault="00C0669A" w:rsidP="00C0669A">
            <w:pPr>
              <w:rPr>
                <w:rFonts w:asciiTheme="majorHAnsi" w:hAnsiTheme="majorHAnsi"/>
                <w:sz w:val="22"/>
                <w:szCs w:val="22"/>
              </w:rPr>
            </w:pPr>
          </w:p>
          <w:p w14:paraId="59C6B771" w14:textId="3FEB8E9A" w:rsidR="00C0669A" w:rsidRPr="00C0669A" w:rsidRDefault="00C0669A" w:rsidP="00C0669A">
            <w:pPr>
              <w:rPr>
                <w:rFonts w:asciiTheme="majorHAnsi" w:hAnsiTheme="majorHAnsi"/>
                <w:sz w:val="22"/>
                <w:szCs w:val="22"/>
              </w:rPr>
            </w:pPr>
            <w:r w:rsidRPr="00C0669A">
              <w:rPr>
                <w:rFonts w:asciiTheme="majorHAnsi" w:hAnsiTheme="majorHAnsi"/>
                <w:sz w:val="22"/>
                <w:szCs w:val="22"/>
              </w:rPr>
              <w:t xml:space="preserve">San Jose, as well as the CalCCA association of </w:t>
            </w:r>
            <w:r w:rsidR="008E66A1">
              <w:rPr>
                <w:rFonts w:asciiTheme="majorHAnsi" w:hAnsiTheme="majorHAnsi"/>
                <w:sz w:val="22"/>
                <w:szCs w:val="22"/>
              </w:rPr>
              <w:t xml:space="preserve">operating </w:t>
            </w:r>
            <w:r w:rsidRPr="00C0669A">
              <w:rPr>
                <w:rFonts w:asciiTheme="majorHAnsi" w:hAnsiTheme="majorHAnsi"/>
                <w:sz w:val="22"/>
                <w:szCs w:val="22"/>
              </w:rPr>
              <w:t>Community Choice Energy</w:t>
            </w:r>
            <w:r w:rsidR="008E66A1">
              <w:rPr>
                <w:rFonts w:asciiTheme="majorHAnsi" w:hAnsiTheme="majorHAnsi"/>
                <w:sz w:val="22"/>
                <w:szCs w:val="22"/>
              </w:rPr>
              <w:t xml:space="preserve"> </w:t>
            </w:r>
            <w:r w:rsidRPr="00C0669A">
              <w:rPr>
                <w:rFonts w:asciiTheme="majorHAnsi" w:hAnsiTheme="majorHAnsi"/>
                <w:sz w:val="22"/>
                <w:szCs w:val="22"/>
              </w:rPr>
              <w:t>agencies and allies</w:t>
            </w:r>
            <w:r w:rsidR="004B0707">
              <w:rPr>
                <w:rFonts w:asciiTheme="majorHAnsi" w:hAnsiTheme="majorHAnsi"/>
                <w:sz w:val="22"/>
                <w:szCs w:val="22"/>
              </w:rPr>
              <w:t xml:space="preserve"> (cal-cca.org)</w:t>
            </w:r>
            <w:r w:rsidRPr="00C0669A">
              <w:rPr>
                <w:rFonts w:asciiTheme="majorHAnsi" w:hAnsiTheme="majorHAnsi"/>
                <w:sz w:val="22"/>
                <w:szCs w:val="22"/>
              </w:rPr>
              <w:t xml:space="preserve">, would be </w:t>
            </w:r>
            <w:r w:rsidR="008E66A1">
              <w:rPr>
                <w:rFonts w:asciiTheme="majorHAnsi" w:hAnsiTheme="majorHAnsi"/>
                <w:sz w:val="22"/>
                <w:szCs w:val="22"/>
              </w:rPr>
              <w:t xml:space="preserve">closely </w:t>
            </w:r>
            <w:r w:rsidRPr="00C0669A">
              <w:rPr>
                <w:rFonts w:asciiTheme="majorHAnsi" w:hAnsiTheme="majorHAnsi"/>
                <w:sz w:val="22"/>
                <w:szCs w:val="22"/>
              </w:rPr>
              <w:t xml:space="preserve">engaged in this process to </w:t>
            </w:r>
            <w:r w:rsidR="004B0707">
              <w:rPr>
                <w:rFonts w:asciiTheme="majorHAnsi" w:hAnsiTheme="majorHAnsi"/>
                <w:sz w:val="22"/>
                <w:szCs w:val="22"/>
              </w:rPr>
              <w:t>raise</w:t>
            </w:r>
            <w:r w:rsidRPr="00C0669A">
              <w:rPr>
                <w:rFonts w:asciiTheme="majorHAnsi" w:hAnsiTheme="majorHAnsi"/>
                <w:sz w:val="22"/>
                <w:szCs w:val="22"/>
              </w:rPr>
              <w:t xml:space="preserve"> questions about the IOUs’ proposal and to work toward achi</w:t>
            </w:r>
            <w:r w:rsidR="004B0707">
              <w:rPr>
                <w:rFonts w:asciiTheme="majorHAnsi" w:hAnsiTheme="majorHAnsi"/>
                <w:sz w:val="22"/>
                <w:szCs w:val="22"/>
              </w:rPr>
              <w:t>eving a positive outcome for CCA</w:t>
            </w:r>
            <w:r w:rsidRPr="00C0669A">
              <w:rPr>
                <w:rFonts w:asciiTheme="majorHAnsi" w:hAnsiTheme="majorHAnsi"/>
                <w:sz w:val="22"/>
                <w:szCs w:val="22"/>
              </w:rPr>
              <w:t>s and their customers.</w:t>
            </w:r>
            <w:r w:rsidR="008E66A1">
              <w:rPr>
                <w:rFonts w:asciiTheme="majorHAnsi" w:hAnsiTheme="majorHAnsi"/>
                <w:sz w:val="22"/>
                <w:szCs w:val="22"/>
              </w:rPr>
              <w:t xml:space="preserve"> </w:t>
            </w:r>
            <w:r w:rsidR="00737C43">
              <w:rPr>
                <w:rFonts w:asciiTheme="majorHAnsi" w:hAnsiTheme="majorHAnsi"/>
                <w:sz w:val="22"/>
                <w:szCs w:val="22"/>
              </w:rPr>
              <w:t xml:space="preserve">The </w:t>
            </w:r>
            <w:r w:rsidR="008E66A1">
              <w:rPr>
                <w:rFonts w:asciiTheme="majorHAnsi" w:hAnsiTheme="majorHAnsi"/>
                <w:sz w:val="22"/>
                <w:szCs w:val="22"/>
              </w:rPr>
              <w:t>influence</w:t>
            </w:r>
            <w:r w:rsidR="00737C43">
              <w:rPr>
                <w:rFonts w:asciiTheme="majorHAnsi" w:hAnsiTheme="majorHAnsi"/>
                <w:sz w:val="22"/>
                <w:szCs w:val="22"/>
              </w:rPr>
              <w:t xml:space="preserve"> of CCAs</w:t>
            </w:r>
            <w:r w:rsidR="008E66A1">
              <w:rPr>
                <w:rFonts w:asciiTheme="majorHAnsi" w:hAnsiTheme="majorHAnsi"/>
                <w:sz w:val="22"/>
                <w:szCs w:val="22"/>
              </w:rPr>
              <w:t xml:space="preserve"> is substantially growing</w:t>
            </w:r>
            <w:r w:rsidR="004B0707">
              <w:rPr>
                <w:rFonts w:asciiTheme="majorHAnsi" w:hAnsiTheme="majorHAnsi"/>
                <w:sz w:val="22"/>
                <w:szCs w:val="22"/>
              </w:rPr>
              <w:t xml:space="preserve"> with each new </w:t>
            </w:r>
            <w:r w:rsidR="00737C43">
              <w:rPr>
                <w:rFonts w:asciiTheme="majorHAnsi" w:hAnsiTheme="majorHAnsi"/>
                <w:sz w:val="22"/>
                <w:szCs w:val="22"/>
              </w:rPr>
              <w:t>agency</w:t>
            </w:r>
            <w:r w:rsidR="00021229">
              <w:rPr>
                <w:rFonts w:asciiTheme="majorHAnsi" w:hAnsiTheme="majorHAnsi"/>
                <w:sz w:val="22"/>
                <w:szCs w:val="22"/>
              </w:rPr>
              <w:t xml:space="preserve"> formed</w:t>
            </w:r>
            <w:r w:rsidR="00737C43">
              <w:rPr>
                <w:rFonts w:asciiTheme="majorHAnsi" w:hAnsiTheme="majorHAnsi"/>
                <w:sz w:val="22"/>
                <w:szCs w:val="22"/>
              </w:rPr>
              <w:t>. O</w:t>
            </w:r>
            <w:r w:rsidR="008E66A1" w:rsidRPr="008E66A1">
              <w:rPr>
                <w:rFonts w:asciiTheme="majorHAnsi" w:hAnsiTheme="majorHAnsi"/>
                <w:sz w:val="22"/>
                <w:szCs w:val="22"/>
              </w:rPr>
              <w:t>ther statewide community choice energy advocacy organizations include California Alliance for Community Energy and Californians for Energy Choice. </w:t>
            </w:r>
          </w:p>
          <w:p w14:paraId="4D5ED133" w14:textId="77777777" w:rsidR="00C0669A" w:rsidRDefault="00C0669A" w:rsidP="00BF6C37">
            <w:pPr>
              <w:rPr>
                <w:rFonts w:asciiTheme="majorHAnsi" w:hAnsiTheme="majorHAnsi"/>
                <w:sz w:val="22"/>
                <w:szCs w:val="22"/>
              </w:rPr>
            </w:pPr>
          </w:p>
        </w:tc>
      </w:tr>
      <w:tr w:rsidR="003C150B" w:rsidRPr="00EA38B1" w14:paraId="1BD4FA32" w14:textId="77777777" w:rsidTr="004C5FFB">
        <w:tc>
          <w:tcPr>
            <w:tcW w:w="3209" w:type="dxa"/>
          </w:tcPr>
          <w:p w14:paraId="0D892CE1" w14:textId="3B2309F4" w:rsidR="003C150B" w:rsidRPr="00980141" w:rsidRDefault="00A20427" w:rsidP="00A20427">
            <w:pPr>
              <w:pStyle w:val="ListParagraph"/>
              <w:numPr>
                <w:ilvl w:val="0"/>
                <w:numId w:val="3"/>
              </w:numPr>
              <w:rPr>
                <w:rFonts w:asciiTheme="majorHAnsi" w:hAnsiTheme="majorHAnsi"/>
                <w:sz w:val="22"/>
                <w:szCs w:val="22"/>
              </w:rPr>
            </w:pPr>
            <w:r>
              <w:rPr>
                <w:rFonts w:asciiTheme="majorHAnsi" w:hAnsiTheme="majorHAnsi"/>
                <w:sz w:val="22"/>
                <w:szCs w:val="22"/>
              </w:rPr>
              <w:lastRenderedPageBreak/>
              <w:t>Would the City Council need to be</w:t>
            </w:r>
            <w:r w:rsidR="003C150B" w:rsidRPr="00980141">
              <w:rPr>
                <w:rFonts w:asciiTheme="majorHAnsi" w:hAnsiTheme="majorHAnsi"/>
                <w:sz w:val="22"/>
                <w:szCs w:val="22"/>
              </w:rPr>
              <w:t xml:space="preserve"> prepared to spend a significant part of each workday and Council sessions dealing with power rate issues</w:t>
            </w:r>
            <w:r>
              <w:rPr>
                <w:rFonts w:asciiTheme="majorHAnsi" w:hAnsiTheme="majorHAnsi"/>
                <w:sz w:val="22"/>
                <w:szCs w:val="22"/>
              </w:rPr>
              <w:t xml:space="preserve">? </w:t>
            </w:r>
          </w:p>
        </w:tc>
        <w:tc>
          <w:tcPr>
            <w:tcW w:w="6259" w:type="dxa"/>
          </w:tcPr>
          <w:p w14:paraId="628B7A05" w14:textId="7A4CF18C" w:rsidR="003C150B" w:rsidRPr="00B92470" w:rsidRDefault="003C150B" w:rsidP="00BF6C37">
            <w:pPr>
              <w:rPr>
                <w:rFonts w:asciiTheme="majorHAnsi" w:hAnsiTheme="majorHAnsi"/>
                <w:sz w:val="22"/>
                <w:szCs w:val="22"/>
              </w:rPr>
            </w:pPr>
            <w:r>
              <w:rPr>
                <w:rFonts w:asciiTheme="majorHAnsi" w:hAnsiTheme="majorHAnsi"/>
                <w:sz w:val="22"/>
                <w:szCs w:val="22"/>
              </w:rPr>
              <w:t xml:space="preserve">In all cases, whether a single jurisdiction or joint powers governance model, the city councilmembers and county supervisors are not burdened in this way. Experienced staff and consultants manage the program and the </w:t>
            </w:r>
            <w:r w:rsidR="00AB44AE">
              <w:rPr>
                <w:rFonts w:asciiTheme="majorHAnsi" w:hAnsiTheme="majorHAnsi"/>
                <w:sz w:val="22"/>
                <w:szCs w:val="22"/>
              </w:rPr>
              <w:t xml:space="preserve">local elected leaders who serve on the Board of </w:t>
            </w:r>
            <w:r>
              <w:rPr>
                <w:rFonts w:asciiTheme="majorHAnsi" w:hAnsiTheme="majorHAnsi"/>
                <w:sz w:val="22"/>
                <w:szCs w:val="22"/>
              </w:rPr>
              <w:t>Directors receive information, set policy and, once or more times per year, set rates.</w:t>
            </w:r>
            <w:r w:rsidR="00E7686A">
              <w:rPr>
                <w:rFonts w:asciiTheme="majorHAnsi" w:hAnsiTheme="majorHAnsi"/>
                <w:sz w:val="22"/>
                <w:szCs w:val="22"/>
              </w:rPr>
              <w:t xml:space="preserve"> </w:t>
            </w:r>
            <w:r w:rsidR="00927D32" w:rsidRPr="00DA2E50">
              <w:rPr>
                <w:rFonts w:asciiTheme="majorHAnsi" w:hAnsiTheme="majorHAnsi"/>
                <w:sz w:val="22"/>
                <w:szCs w:val="22"/>
              </w:rPr>
              <w:t xml:space="preserve">Council advisory committees could </w:t>
            </w:r>
            <w:r w:rsidR="00A42D7F" w:rsidRPr="00DA2E50">
              <w:rPr>
                <w:rFonts w:asciiTheme="majorHAnsi" w:hAnsiTheme="majorHAnsi"/>
                <w:sz w:val="22"/>
                <w:szCs w:val="22"/>
              </w:rPr>
              <w:t xml:space="preserve">play a </w:t>
            </w:r>
            <w:r w:rsidR="00BF6C37" w:rsidRPr="00DA2E50">
              <w:rPr>
                <w:rFonts w:asciiTheme="majorHAnsi" w:hAnsiTheme="majorHAnsi"/>
                <w:sz w:val="22"/>
                <w:szCs w:val="22"/>
              </w:rPr>
              <w:t xml:space="preserve">helpful </w:t>
            </w:r>
            <w:r w:rsidR="00A42D7F" w:rsidRPr="00DA2E50">
              <w:rPr>
                <w:rFonts w:asciiTheme="majorHAnsi" w:hAnsiTheme="majorHAnsi"/>
                <w:sz w:val="22"/>
                <w:szCs w:val="22"/>
              </w:rPr>
              <w:t xml:space="preserve">role in </w:t>
            </w:r>
            <w:r w:rsidR="00BF6C37" w:rsidRPr="00DA2E50">
              <w:rPr>
                <w:rFonts w:asciiTheme="majorHAnsi" w:hAnsiTheme="majorHAnsi"/>
                <w:sz w:val="22"/>
                <w:szCs w:val="22"/>
              </w:rPr>
              <w:t xml:space="preserve">managing Council workload in </w:t>
            </w:r>
            <w:r w:rsidR="00A42D7F" w:rsidRPr="00DA2E50">
              <w:rPr>
                <w:rFonts w:asciiTheme="majorHAnsi" w:hAnsiTheme="majorHAnsi"/>
                <w:sz w:val="22"/>
                <w:szCs w:val="22"/>
              </w:rPr>
              <w:t>single jurisdiction CCAs.</w:t>
            </w:r>
            <w:r w:rsidR="00A42D7F">
              <w:rPr>
                <w:rFonts w:asciiTheme="majorHAnsi" w:hAnsiTheme="majorHAnsi"/>
                <w:sz w:val="22"/>
                <w:szCs w:val="22"/>
              </w:rPr>
              <w:t xml:space="preserve"> </w:t>
            </w:r>
            <w:r w:rsidR="00E7686A">
              <w:rPr>
                <w:rFonts w:asciiTheme="majorHAnsi" w:hAnsiTheme="majorHAnsi"/>
                <w:sz w:val="22"/>
                <w:szCs w:val="22"/>
              </w:rPr>
              <w:t>Overall, local elected leaders serving on CCA boards in California are very positive about th</w:t>
            </w:r>
            <w:r w:rsidR="00B71098">
              <w:rPr>
                <w:rFonts w:asciiTheme="majorHAnsi" w:hAnsiTheme="majorHAnsi"/>
                <w:sz w:val="22"/>
                <w:szCs w:val="22"/>
              </w:rPr>
              <w:t>eir</w:t>
            </w:r>
            <w:r w:rsidR="00E7686A">
              <w:rPr>
                <w:rFonts w:asciiTheme="majorHAnsi" w:hAnsiTheme="majorHAnsi"/>
                <w:sz w:val="22"/>
                <w:szCs w:val="22"/>
              </w:rPr>
              <w:t xml:space="preserve"> role.</w:t>
            </w:r>
          </w:p>
        </w:tc>
      </w:tr>
    </w:tbl>
    <w:p w14:paraId="6637F5CB" w14:textId="77777777" w:rsidR="009748CD" w:rsidRPr="00EA38B1" w:rsidRDefault="009748CD">
      <w:pPr>
        <w:rPr>
          <w:rFonts w:asciiTheme="majorHAnsi" w:hAnsiTheme="majorHAnsi"/>
        </w:rPr>
      </w:pPr>
    </w:p>
    <w:sectPr w:rsidR="009748CD" w:rsidRPr="00EA38B1" w:rsidSect="00F76BF3">
      <w:headerReference w:type="default" r:id="rId16"/>
      <w:footerReference w:type="even" r:id="rId17"/>
      <w:footerReference w:type="default" r:id="rId1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2C08B" w14:textId="77777777" w:rsidR="00A72B95" w:rsidRDefault="00A72B95" w:rsidP="00EA38B1">
      <w:r>
        <w:separator/>
      </w:r>
    </w:p>
  </w:endnote>
  <w:endnote w:type="continuationSeparator" w:id="0">
    <w:p w14:paraId="2B84EF33" w14:textId="77777777" w:rsidR="00A72B95" w:rsidRDefault="00A72B95" w:rsidP="00EA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586E4" w14:textId="77777777" w:rsidR="0053294A" w:rsidRDefault="0053294A" w:rsidP="003C15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049A50" w14:textId="77777777" w:rsidR="0053294A" w:rsidRDefault="0053294A" w:rsidP="00DC44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DA5AB" w14:textId="77777777" w:rsidR="0053294A" w:rsidRDefault="0053294A" w:rsidP="003C15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403E">
      <w:rPr>
        <w:rStyle w:val="PageNumber"/>
        <w:noProof/>
      </w:rPr>
      <w:t>7</w:t>
    </w:r>
    <w:r>
      <w:rPr>
        <w:rStyle w:val="PageNumber"/>
      </w:rPr>
      <w:fldChar w:fldCharType="end"/>
    </w:r>
  </w:p>
  <w:p w14:paraId="55E97F0A" w14:textId="77777777" w:rsidR="0053294A" w:rsidRDefault="0053294A" w:rsidP="00DC44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1A2B9" w14:textId="77777777" w:rsidR="00A72B95" w:rsidRDefault="00A72B95" w:rsidP="00EA38B1">
      <w:r>
        <w:separator/>
      </w:r>
    </w:p>
  </w:footnote>
  <w:footnote w:type="continuationSeparator" w:id="0">
    <w:p w14:paraId="3E28F28D" w14:textId="77777777" w:rsidR="00A72B95" w:rsidRDefault="00A72B95" w:rsidP="00EA38B1">
      <w:r>
        <w:continuationSeparator/>
      </w:r>
    </w:p>
  </w:footnote>
  <w:footnote w:id="1">
    <w:p w14:paraId="33891791" w14:textId="77777777" w:rsidR="0053294A" w:rsidRPr="001E6AFC" w:rsidRDefault="0053294A">
      <w:pPr>
        <w:pStyle w:val="FootnoteText"/>
        <w:rPr>
          <w:rFonts w:asciiTheme="majorHAnsi" w:hAnsiTheme="majorHAnsi"/>
          <w:sz w:val="20"/>
          <w:szCs w:val="20"/>
        </w:rPr>
      </w:pPr>
      <w:r w:rsidRPr="001E6AFC">
        <w:rPr>
          <w:rStyle w:val="FootnoteReference"/>
          <w:rFonts w:asciiTheme="majorHAnsi" w:hAnsiTheme="majorHAnsi"/>
          <w:sz w:val="20"/>
          <w:szCs w:val="20"/>
        </w:rPr>
        <w:footnoteRef/>
      </w:r>
      <w:r w:rsidRPr="001E6AFC">
        <w:rPr>
          <w:rFonts w:asciiTheme="majorHAnsi" w:hAnsiTheme="majorHAnsi"/>
          <w:sz w:val="20"/>
          <w:szCs w:val="20"/>
        </w:rPr>
        <w:t xml:space="preserve"> </w:t>
      </w:r>
      <w:hyperlink r:id="rId1" w:history="1">
        <w:r w:rsidRPr="001E0B9D">
          <w:rPr>
            <w:rStyle w:val="Hyperlink"/>
            <w:rFonts w:asciiTheme="majorHAnsi" w:hAnsiTheme="majorHAnsi"/>
            <w:sz w:val="20"/>
            <w:szCs w:val="20"/>
          </w:rPr>
          <w:t>http://leginfo.legislature.ca.gov/faces/codes_displaySection.xhtml?lawCode=PUC&amp;sectionNum=366.2</w:t>
        </w:r>
      </w:hyperlink>
      <w:r>
        <w:rPr>
          <w:rFonts w:asciiTheme="majorHAnsi" w:hAnsiTheme="majorHAnsi"/>
          <w:sz w:val="20"/>
          <w:szCs w:val="20"/>
        </w:rPr>
        <w:t xml:space="preserve"> </w:t>
      </w:r>
    </w:p>
  </w:footnote>
  <w:footnote w:id="2">
    <w:p w14:paraId="2B436DDD" w14:textId="77777777" w:rsidR="0053294A" w:rsidRPr="0091700B" w:rsidRDefault="0053294A" w:rsidP="000B1B73">
      <w:pPr>
        <w:pStyle w:val="FootnoteText"/>
        <w:rPr>
          <w:rFonts w:asciiTheme="majorHAnsi" w:hAnsiTheme="majorHAnsi"/>
          <w:sz w:val="20"/>
          <w:szCs w:val="20"/>
        </w:rPr>
      </w:pPr>
      <w:r w:rsidRPr="0091700B">
        <w:rPr>
          <w:rStyle w:val="FootnoteReference"/>
          <w:rFonts w:asciiTheme="majorHAnsi" w:hAnsiTheme="majorHAnsi"/>
          <w:sz w:val="20"/>
          <w:szCs w:val="20"/>
        </w:rPr>
        <w:footnoteRef/>
      </w:r>
      <w:r w:rsidRPr="0091700B">
        <w:rPr>
          <w:rFonts w:asciiTheme="majorHAnsi" w:hAnsiTheme="majorHAnsi"/>
          <w:sz w:val="20"/>
          <w:szCs w:val="20"/>
        </w:rPr>
        <w:t xml:space="preserve"> </w:t>
      </w:r>
      <w:hyperlink r:id="rId2" w:history="1">
        <w:r w:rsidRPr="0091700B">
          <w:rPr>
            <w:rStyle w:val="Hyperlink"/>
            <w:rFonts w:asciiTheme="majorHAnsi" w:hAnsiTheme="majorHAnsi"/>
            <w:sz w:val="20"/>
            <w:szCs w:val="20"/>
          </w:rPr>
          <w:t>http://leginfo.legislature.ca.gov/faces/billNavClient.xhtml?bill_id=201120120SB790</w:t>
        </w:r>
      </w:hyperlink>
      <w:r w:rsidRPr="0091700B">
        <w:rPr>
          <w:rFonts w:asciiTheme="majorHAnsi" w:hAnsiTheme="majorHAnsi"/>
          <w:sz w:val="20"/>
          <w:szCs w:val="20"/>
        </w:rPr>
        <w:t xml:space="preserve"> </w:t>
      </w:r>
    </w:p>
  </w:footnote>
  <w:footnote w:id="3">
    <w:p w14:paraId="54DA6E5B" w14:textId="77777777" w:rsidR="0053294A" w:rsidRPr="007B6D4B" w:rsidRDefault="0053294A" w:rsidP="000B1B73">
      <w:pPr>
        <w:pStyle w:val="FootnoteText"/>
        <w:rPr>
          <w:rFonts w:asciiTheme="majorHAnsi" w:hAnsiTheme="majorHAnsi"/>
          <w:sz w:val="20"/>
          <w:szCs w:val="20"/>
        </w:rPr>
      </w:pPr>
      <w:r w:rsidRPr="007B6D4B">
        <w:rPr>
          <w:rStyle w:val="FootnoteReference"/>
          <w:rFonts w:asciiTheme="majorHAnsi" w:hAnsiTheme="majorHAnsi"/>
          <w:sz w:val="20"/>
          <w:szCs w:val="20"/>
        </w:rPr>
        <w:footnoteRef/>
      </w:r>
      <w:r w:rsidRPr="007B6D4B">
        <w:rPr>
          <w:rFonts w:asciiTheme="majorHAnsi" w:hAnsiTheme="majorHAnsi"/>
          <w:sz w:val="20"/>
          <w:szCs w:val="20"/>
        </w:rPr>
        <w:t xml:space="preserve"> </w:t>
      </w:r>
      <w:hyperlink r:id="rId3" w:history="1">
        <w:r w:rsidRPr="007B6D4B">
          <w:rPr>
            <w:rStyle w:val="Hyperlink"/>
            <w:rFonts w:asciiTheme="majorHAnsi" w:hAnsiTheme="majorHAnsi"/>
            <w:sz w:val="20"/>
            <w:szCs w:val="20"/>
          </w:rPr>
          <w:t>http://www.lancasterchoiceenergy.com/</w:t>
        </w:r>
      </w:hyperlink>
      <w:r w:rsidRPr="007B6D4B">
        <w:rPr>
          <w:rFonts w:asciiTheme="majorHAnsi" w:hAnsiTheme="majorHAnsi"/>
          <w:sz w:val="20"/>
          <w:szCs w:val="20"/>
        </w:rPr>
        <w:t xml:space="preserve"> </w:t>
      </w:r>
    </w:p>
  </w:footnote>
  <w:footnote w:id="4">
    <w:p w14:paraId="5AC8864D" w14:textId="77777777" w:rsidR="0053294A" w:rsidRPr="00E44F6E" w:rsidRDefault="0053294A" w:rsidP="000B1B73">
      <w:pPr>
        <w:pStyle w:val="FootnoteText"/>
        <w:rPr>
          <w:rFonts w:asciiTheme="majorHAnsi" w:hAnsiTheme="majorHAnsi"/>
          <w:sz w:val="20"/>
          <w:szCs w:val="20"/>
        </w:rPr>
      </w:pPr>
      <w:r w:rsidRPr="00E44F6E">
        <w:rPr>
          <w:rStyle w:val="FootnoteReference"/>
          <w:rFonts w:asciiTheme="majorHAnsi" w:hAnsiTheme="majorHAnsi"/>
          <w:sz w:val="20"/>
          <w:szCs w:val="20"/>
        </w:rPr>
        <w:footnoteRef/>
      </w:r>
      <w:r w:rsidRPr="00E44F6E">
        <w:rPr>
          <w:rFonts w:asciiTheme="majorHAnsi" w:hAnsiTheme="majorHAnsi"/>
          <w:sz w:val="20"/>
          <w:szCs w:val="20"/>
        </w:rPr>
        <w:t xml:space="preserve"> </w:t>
      </w:r>
      <w:hyperlink r:id="rId4" w:history="1">
        <w:r w:rsidRPr="00E44F6E">
          <w:rPr>
            <w:rStyle w:val="Hyperlink"/>
            <w:rFonts w:asciiTheme="majorHAnsi" w:hAnsiTheme="majorHAnsi"/>
            <w:sz w:val="20"/>
            <w:szCs w:val="20"/>
          </w:rPr>
          <w:t>https://www.pge.com/includes/docs/pdfs/safety/dcpp/diablo-canyon-retirement-joint-proposal-application.pdf</w:t>
        </w:r>
      </w:hyperlink>
      <w:r w:rsidRPr="00E44F6E">
        <w:rPr>
          <w:rFonts w:asciiTheme="majorHAnsi" w:hAnsiTheme="majorHAnsi"/>
          <w:sz w:val="20"/>
          <w:szCs w:val="20"/>
        </w:rPr>
        <w:t xml:space="preserve"> </w:t>
      </w:r>
    </w:p>
  </w:footnote>
  <w:footnote w:id="5">
    <w:p w14:paraId="59D531BB" w14:textId="77777777" w:rsidR="0053294A" w:rsidRPr="00E6427B" w:rsidRDefault="0053294A" w:rsidP="000B1B73">
      <w:pPr>
        <w:pStyle w:val="FootnoteText"/>
        <w:rPr>
          <w:rFonts w:asciiTheme="majorHAnsi" w:hAnsiTheme="majorHAnsi"/>
          <w:sz w:val="20"/>
          <w:szCs w:val="20"/>
        </w:rPr>
      </w:pPr>
      <w:r w:rsidRPr="00E44F6E">
        <w:rPr>
          <w:rStyle w:val="FootnoteReference"/>
          <w:rFonts w:asciiTheme="majorHAnsi" w:hAnsiTheme="majorHAnsi"/>
          <w:sz w:val="20"/>
          <w:szCs w:val="20"/>
        </w:rPr>
        <w:footnoteRef/>
      </w:r>
      <w:r w:rsidRPr="00E44F6E">
        <w:rPr>
          <w:rFonts w:asciiTheme="majorHAnsi" w:hAnsiTheme="majorHAnsi"/>
          <w:sz w:val="20"/>
          <w:szCs w:val="20"/>
        </w:rPr>
        <w:t xml:space="preserve"> </w:t>
      </w:r>
      <w:hyperlink r:id="rId5" w:history="1">
        <w:r w:rsidRPr="00E44F6E">
          <w:rPr>
            <w:rStyle w:val="Hyperlink"/>
            <w:rFonts w:asciiTheme="majorHAnsi" w:hAnsiTheme="majorHAnsi"/>
            <w:sz w:val="20"/>
            <w:szCs w:val="20"/>
          </w:rPr>
          <w:t>https://www.cacities.org/Member-Engagement/Professional-Departments/City-Attorneys-Department/Publications/Open-Public-IV_-A-Guide-to-the-Ralph-M-Brown-Act-(.aspx</w:t>
        </w:r>
      </w:hyperlink>
      <w:r w:rsidRPr="00E6427B">
        <w:rPr>
          <w:rFonts w:asciiTheme="majorHAnsi" w:hAnsiTheme="majorHAnsi"/>
          <w:sz w:val="20"/>
          <w:szCs w:val="20"/>
        </w:rPr>
        <w:t xml:space="preserve"> </w:t>
      </w:r>
    </w:p>
  </w:footnote>
  <w:footnote w:id="6">
    <w:p w14:paraId="62E1B324" w14:textId="77777777" w:rsidR="0053294A" w:rsidRPr="00EA38B1" w:rsidRDefault="0053294A">
      <w:pPr>
        <w:pStyle w:val="FootnoteText"/>
        <w:rPr>
          <w:rFonts w:asciiTheme="majorHAnsi" w:hAnsiTheme="majorHAnsi"/>
          <w:sz w:val="20"/>
          <w:szCs w:val="20"/>
        </w:rPr>
      </w:pPr>
      <w:r w:rsidRPr="00EA38B1">
        <w:rPr>
          <w:rStyle w:val="FootnoteReference"/>
          <w:rFonts w:asciiTheme="majorHAnsi" w:hAnsiTheme="majorHAnsi"/>
          <w:sz w:val="20"/>
          <w:szCs w:val="20"/>
        </w:rPr>
        <w:footnoteRef/>
      </w:r>
      <w:r w:rsidRPr="00EA38B1">
        <w:rPr>
          <w:rFonts w:asciiTheme="majorHAnsi" w:hAnsiTheme="majorHAnsi"/>
          <w:sz w:val="20"/>
          <w:szCs w:val="20"/>
        </w:rPr>
        <w:t xml:space="preserve"> </w:t>
      </w:r>
      <w:hyperlink r:id="rId6" w:history="1">
        <w:r w:rsidRPr="00612ECE">
          <w:rPr>
            <w:rStyle w:val="Hyperlink"/>
            <w:rFonts w:asciiTheme="majorHAnsi" w:hAnsiTheme="majorHAnsi"/>
            <w:sz w:val="20"/>
            <w:szCs w:val="20"/>
          </w:rPr>
          <w:t>http://www.energy.ca.gov/sb1305/power_content_label.html</w:t>
        </w:r>
      </w:hyperlink>
      <w:r>
        <w:rPr>
          <w:rFonts w:asciiTheme="majorHAnsi" w:hAnsiTheme="majorHAnsi"/>
          <w:sz w:val="20"/>
          <w:szCs w:val="20"/>
        </w:rPr>
        <w:t xml:space="preserve"> </w:t>
      </w:r>
    </w:p>
  </w:footnote>
  <w:footnote w:id="7">
    <w:p w14:paraId="07A24E9D" w14:textId="77777777" w:rsidR="0053294A" w:rsidRPr="00434952" w:rsidRDefault="0053294A">
      <w:pPr>
        <w:pStyle w:val="FootnoteText"/>
        <w:rPr>
          <w:rFonts w:asciiTheme="majorHAnsi" w:hAnsiTheme="majorHAnsi"/>
          <w:sz w:val="20"/>
          <w:szCs w:val="20"/>
        </w:rPr>
      </w:pPr>
      <w:r w:rsidRPr="00434952">
        <w:rPr>
          <w:rStyle w:val="FootnoteReference"/>
          <w:rFonts w:asciiTheme="majorHAnsi" w:hAnsiTheme="majorHAnsi"/>
          <w:sz w:val="20"/>
          <w:szCs w:val="20"/>
        </w:rPr>
        <w:footnoteRef/>
      </w:r>
      <w:r w:rsidRPr="00434952">
        <w:rPr>
          <w:rFonts w:asciiTheme="majorHAnsi" w:hAnsiTheme="majorHAnsi"/>
          <w:sz w:val="20"/>
          <w:szCs w:val="20"/>
        </w:rPr>
        <w:t xml:space="preserve"> </w:t>
      </w:r>
      <w:hyperlink r:id="rId7" w:history="1">
        <w:r w:rsidRPr="00612ECE">
          <w:rPr>
            <w:rStyle w:val="Hyperlink"/>
            <w:rFonts w:asciiTheme="majorHAnsi" w:hAnsiTheme="majorHAnsi"/>
            <w:sz w:val="20"/>
            <w:szCs w:val="20"/>
          </w:rPr>
          <w:t>http://www.energy.ca.gov/2015publications/CEC-300-2015-001/CEC-300-2015-001-ED8-CMF.pdf</w:t>
        </w:r>
      </w:hyperlink>
      <w:r>
        <w:rPr>
          <w:rFonts w:asciiTheme="majorHAnsi" w:hAnsiTheme="majorHAnsi"/>
          <w:sz w:val="20"/>
          <w:szCs w:val="20"/>
        </w:rPr>
        <w:t xml:space="preserve"> </w:t>
      </w:r>
    </w:p>
  </w:footnote>
  <w:footnote w:id="8">
    <w:p w14:paraId="78AE8B0A" w14:textId="77777777" w:rsidR="0053294A" w:rsidRPr="006A1822" w:rsidRDefault="0053294A">
      <w:pPr>
        <w:pStyle w:val="FootnoteText"/>
        <w:rPr>
          <w:rFonts w:asciiTheme="majorHAnsi" w:hAnsiTheme="majorHAnsi"/>
          <w:sz w:val="20"/>
          <w:szCs w:val="20"/>
        </w:rPr>
      </w:pPr>
      <w:r w:rsidRPr="006A1822">
        <w:rPr>
          <w:rStyle w:val="FootnoteReference"/>
          <w:rFonts w:asciiTheme="majorHAnsi" w:hAnsiTheme="majorHAnsi"/>
          <w:sz w:val="20"/>
          <w:szCs w:val="20"/>
        </w:rPr>
        <w:footnoteRef/>
      </w:r>
      <w:r w:rsidRPr="006A1822">
        <w:rPr>
          <w:rFonts w:asciiTheme="majorHAnsi" w:hAnsiTheme="majorHAnsi"/>
          <w:sz w:val="20"/>
          <w:szCs w:val="20"/>
        </w:rPr>
        <w:t xml:space="preserve"> </w:t>
      </w:r>
      <w:hyperlink r:id="rId8" w:history="1">
        <w:r w:rsidRPr="006A1822">
          <w:rPr>
            <w:rStyle w:val="Hyperlink"/>
            <w:rFonts w:asciiTheme="majorHAnsi" w:hAnsiTheme="majorHAnsi"/>
            <w:sz w:val="20"/>
            <w:szCs w:val="20"/>
          </w:rPr>
          <w:t>http://www.pge.com/tariffs/electric.shtml</w:t>
        </w:r>
      </w:hyperlink>
      <w:r w:rsidRPr="006A1822">
        <w:rPr>
          <w:rFonts w:asciiTheme="majorHAnsi" w:hAnsiTheme="majorHAnsi"/>
          <w:sz w:val="20"/>
          <w:szCs w:val="20"/>
        </w:rPr>
        <w:t xml:space="preserve"> </w:t>
      </w:r>
    </w:p>
  </w:footnote>
  <w:footnote w:id="9">
    <w:p w14:paraId="5B18ECB3" w14:textId="77777777" w:rsidR="0053294A" w:rsidRPr="00BC4C59" w:rsidRDefault="0053294A">
      <w:pPr>
        <w:pStyle w:val="FootnoteText"/>
        <w:rPr>
          <w:rFonts w:asciiTheme="majorHAnsi" w:hAnsiTheme="majorHAnsi"/>
          <w:sz w:val="20"/>
          <w:szCs w:val="20"/>
        </w:rPr>
      </w:pPr>
      <w:r w:rsidRPr="00BC4C59">
        <w:rPr>
          <w:rStyle w:val="FootnoteReference"/>
          <w:rFonts w:asciiTheme="majorHAnsi" w:hAnsiTheme="majorHAnsi"/>
          <w:sz w:val="20"/>
          <w:szCs w:val="20"/>
        </w:rPr>
        <w:footnoteRef/>
      </w:r>
      <w:r w:rsidRPr="00BC4C59">
        <w:rPr>
          <w:rFonts w:asciiTheme="majorHAnsi" w:hAnsiTheme="majorHAnsi"/>
          <w:sz w:val="20"/>
          <w:szCs w:val="20"/>
        </w:rPr>
        <w:t xml:space="preserve"> </w:t>
      </w:r>
      <w:hyperlink r:id="rId9" w:history="1">
        <w:r w:rsidRPr="00612ECE">
          <w:rPr>
            <w:rStyle w:val="Hyperlink"/>
            <w:rFonts w:asciiTheme="majorHAnsi" w:hAnsiTheme="majorHAnsi"/>
            <w:sz w:val="20"/>
            <w:szCs w:val="20"/>
          </w:rPr>
          <w:t>http://www.publicpower.org/files/PDFs/StraightAnswersBenefits.pdf</w:t>
        </w:r>
      </w:hyperlink>
      <w:r>
        <w:rPr>
          <w:rFonts w:asciiTheme="majorHAnsi" w:hAnsiTheme="majorHAnsi"/>
          <w:sz w:val="20"/>
          <w:szCs w:val="20"/>
        </w:rPr>
        <w:t xml:space="preserve"> </w:t>
      </w:r>
    </w:p>
  </w:footnote>
  <w:footnote w:id="10">
    <w:p w14:paraId="61B5673A" w14:textId="77777777" w:rsidR="0053294A" w:rsidRPr="00722546" w:rsidRDefault="0053294A">
      <w:pPr>
        <w:pStyle w:val="FootnoteText"/>
        <w:rPr>
          <w:rFonts w:asciiTheme="majorHAnsi" w:hAnsiTheme="majorHAnsi"/>
          <w:sz w:val="20"/>
          <w:szCs w:val="20"/>
        </w:rPr>
      </w:pPr>
      <w:r w:rsidRPr="00722546">
        <w:rPr>
          <w:rStyle w:val="FootnoteReference"/>
          <w:rFonts w:asciiTheme="majorHAnsi" w:hAnsiTheme="majorHAnsi"/>
          <w:sz w:val="20"/>
          <w:szCs w:val="20"/>
        </w:rPr>
        <w:footnoteRef/>
      </w:r>
      <w:r w:rsidRPr="00722546">
        <w:rPr>
          <w:rFonts w:asciiTheme="majorHAnsi" w:hAnsiTheme="majorHAnsi"/>
          <w:sz w:val="20"/>
          <w:szCs w:val="20"/>
        </w:rPr>
        <w:t xml:space="preserve"> </w:t>
      </w:r>
      <w:hyperlink r:id="rId10" w:history="1">
        <w:r w:rsidRPr="00722546">
          <w:rPr>
            <w:rStyle w:val="Hyperlink"/>
            <w:rFonts w:asciiTheme="majorHAnsi" w:hAnsiTheme="majorHAnsi"/>
            <w:sz w:val="20"/>
            <w:szCs w:val="20"/>
          </w:rPr>
          <w:t>https://energy.gov/sites/prod/files/2013/12/f5/Grid%20Energy%20Storage%20December%202013.pdf</w:t>
        </w:r>
      </w:hyperlink>
      <w:r w:rsidRPr="00722546">
        <w:rPr>
          <w:rFonts w:asciiTheme="majorHAnsi" w:hAnsiTheme="majorHAns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DEB5F" w14:textId="77777777" w:rsidR="0053294A" w:rsidRDefault="0053294A">
    <w:pPr>
      <w:pStyle w:val="Header"/>
    </w:pPr>
    <w:r>
      <w:rPr>
        <w:noProof/>
      </w:rPr>
      <w:drawing>
        <wp:inline distT="0" distB="0" distL="0" distR="0" wp14:anchorId="03F278D3" wp14:editId="0811F24D">
          <wp:extent cx="914400" cy="55098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_Logo_RGB.jpg"/>
                  <pic:cNvPicPr/>
                </pic:nvPicPr>
                <pic:blipFill>
                  <a:blip r:embed="rId1">
                    <a:extLst>
                      <a:ext uri="{28A0092B-C50C-407E-A947-70E740481C1C}">
                        <a14:useLocalDpi xmlns:a14="http://schemas.microsoft.com/office/drawing/2010/main" val="0"/>
                      </a:ext>
                    </a:extLst>
                  </a:blip>
                  <a:stretch>
                    <a:fillRect/>
                  </a:stretch>
                </pic:blipFill>
                <pic:spPr>
                  <a:xfrm>
                    <a:off x="0" y="0"/>
                    <a:ext cx="914842" cy="5512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B3B16"/>
    <w:multiLevelType w:val="hybridMultilevel"/>
    <w:tmpl w:val="E3689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EA319EE"/>
    <w:multiLevelType w:val="hybridMultilevel"/>
    <w:tmpl w:val="FA68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A2620A"/>
    <w:multiLevelType w:val="multilevel"/>
    <w:tmpl w:val="B85C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2532D8"/>
    <w:multiLevelType w:val="hybridMultilevel"/>
    <w:tmpl w:val="E9367214"/>
    <w:lvl w:ilvl="0" w:tplc="0409000F">
      <w:start w:val="1"/>
      <w:numFmt w:val="decimal"/>
      <w:lvlText w:val="%1."/>
      <w:lvlJc w:val="left"/>
      <w:pPr>
        <w:ind w:left="360" w:hanging="360"/>
      </w:pPr>
    </w:lvl>
    <w:lvl w:ilvl="1" w:tplc="3286B726">
      <w:numFmt w:val="bullet"/>
      <w:lvlText w:val="-"/>
      <w:lvlJc w:val="left"/>
      <w:pPr>
        <w:ind w:left="1440" w:hanging="360"/>
      </w:pPr>
      <w:rPr>
        <w:rFonts w:ascii="Calibri" w:eastAsiaTheme="minorEastAsia" w:hAnsi="Calibri"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18"/>
    <w:rsid w:val="00007860"/>
    <w:rsid w:val="00007B2D"/>
    <w:rsid w:val="00011028"/>
    <w:rsid w:val="00021229"/>
    <w:rsid w:val="00045AE4"/>
    <w:rsid w:val="000543D8"/>
    <w:rsid w:val="000570B3"/>
    <w:rsid w:val="00057805"/>
    <w:rsid w:val="00062151"/>
    <w:rsid w:val="000665C5"/>
    <w:rsid w:val="000776F4"/>
    <w:rsid w:val="00081852"/>
    <w:rsid w:val="000829BB"/>
    <w:rsid w:val="000A266A"/>
    <w:rsid w:val="000A685D"/>
    <w:rsid w:val="000B1B73"/>
    <w:rsid w:val="000D3A0C"/>
    <w:rsid w:val="000F4418"/>
    <w:rsid w:val="000F5D12"/>
    <w:rsid w:val="00106142"/>
    <w:rsid w:val="001219E6"/>
    <w:rsid w:val="00142FD5"/>
    <w:rsid w:val="00146309"/>
    <w:rsid w:val="0017357D"/>
    <w:rsid w:val="00176F0B"/>
    <w:rsid w:val="00182C41"/>
    <w:rsid w:val="001A1EEE"/>
    <w:rsid w:val="001B3A97"/>
    <w:rsid w:val="001B7AB3"/>
    <w:rsid w:val="001C341C"/>
    <w:rsid w:val="001C59D6"/>
    <w:rsid w:val="001D7CD7"/>
    <w:rsid w:val="001E0F83"/>
    <w:rsid w:val="001E279C"/>
    <w:rsid w:val="001E4926"/>
    <w:rsid w:val="001E6AFC"/>
    <w:rsid w:val="001F7B50"/>
    <w:rsid w:val="00200770"/>
    <w:rsid w:val="002153A7"/>
    <w:rsid w:val="00227229"/>
    <w:rsid w:val="00241CB3"/>
    <w:rsid w:val="00253E5A"/>
    <w:rsid w:val="00256884"/>
    <w:rsid w:val="0026159B"/>
    <w:rsid w:val="0026725C"/>
    <w:rsid w:val="002A2D13"/>
    <w:rsid w:val="002A3C57"/>
    <w:rsid w:val="002C6409"/>
    <w:rsid w:val="002D4E9D"/>
    <w:rsid w:val="002E2D3F"/>
    <w:rsid w:val="002F7D6B"/>
    <w:rsid w:val="003049F5"/>
    <w:rsid w:val="00307369"/>
    <w:rsid w:val="0034467C"/>
    <w:rsid w:val="00344F76"/>
    <w:rsid w:val="00346EC8"/>
    <w:rsid w:val="00351800"/>
    <w:rsid w:val="00353881"/>
    <w:rsid w:val="0036382F"/>
    <w:rsid w:val="00367ACB"/>
    <w:rsid w:val="003A039A"/>
    <w:rsid w:val="003C150B"/>
    <w:rsid w:val="003C6BCC"/>
    <w:rsid w:val="003D6BEB"/>
    <w:rsid w:val="003E4C5D"/>
    <w:rsid w:val="004028E8"/>
    <w:rsid w:val="004339BE"/>
    <w:rsid w:val="00434952"/>
    <w:rsid w:val="00451094"/>
    <w:rsid w:val="00451B1C"/>
    <w:rsid w:val="004703D6"/>
    <w:rsid w:val="00471A05"/>
    <w:rsid w:val="004743E6"/>
    <w:rsid w:val="00482C6C"/>
    <w:rsid w:val="00484029"/>
    <w:rsid w:val="00492E66"/>
    <w:rsid w:val="004A2E4D"/>
    <w:rsid w:val="004B0707"/>
    <w:rsid w:val="004B1511"/>
    <w:rsid w:val="004B50D7"/>
    <w:rsid w:val="004B7DA4"/>
    <w:rsid w:val="004B7F4F"/>
    <w:rsid w:val="004C4175"/>
    <w:rsid w:val="004C5FFB"/>
    <w:rsid w:val="004F7A19"/>
    <w:rsid w:val="005069BC"/>
    <w:rsid w:val="00514C5D"/>
    <w:rsid w:val="005156D6"/>
    <w:rsid w:val="005236AC"/>
    <w:rsid w:val="00523CA1"/>
    <w:rsid w:val="0053294A"/>
    <w:rsid w:val="0053310C"/>
    <w:rsid w:val="0053499D"/>
    <w:rsid w:val="0054362D"/>
    <w:rsid w:val="00543DCA"/>
    <w:rsid w:val="00572FF1"/>
    <w:rsid w:val="005759AC"/>
    <w:rsid w:val="00585C15"/>
    <w:rsid w:val="00590AFC"/>
    <w:rsid w:val="00591611"/>
    <w:rsid w:val="005C29B5"/>
    <w:rsid w:val="005C43EC"/>
    <w:rsid w:val="005C64F3"/>
    <w:rsid w:val="005C7F31"/>
    <w:rsid w:val="005E693B"/>
    <w:rsid w:val="00607961"/>
    <w:rsid w:val="00622A74"/>
    <w:rsid w:val="006276F0"/>
    <w:rsid w:val="00642AAC"/>
    <w:rsid w:val="00646289"/>
    <w:rsid w:val="00653F06"/>
    <w:rsid w:val="00690CE7"/>
    <w:rsid w:val="006A1822"/>
    <w:rsid w:val="006E13A8"/>
    <w:rsid w:val="006F3248"/>
    <w:rsid w:val="00702BC4"/>
    <w:rsid w:val="00710DBD"/>
    <w:rsid w:val="00722546"/>
    <w:rsid w:val="007333CE"/>
    <w:rsid w:val="007373D4"/>
    <w:rsid w:val="00737929"/>
    <w:rsid w:val="00737C43"/>
    <w:rsid w:val="007404F8"/>
    <w:rsid w:val="00746253"/>
    <w:rsid w:val="00755EF8"/>
    <w:rsid w:val="00772726"/>
    <w:rsid w:val="00794A96"/>
    <w:rsid w:val="007A48C9"/>
    <w:rsid w:val="007B2BBE"/>
    <w:rsid w:val="007B4403"/>
    <w:rsid w:val="007B4BE5"/>
    <w:rsid w:val="007B6D4B"/>
    <w:rsid w:val="007D0A90"/>
    <w:rsid w:val="007D4CAB"/>
    <w:rsid w:val="007D56BE"/>
    <w:rsid w:val="007D60E8"/>
    <w:rsid w:val="007F3838"/>
    <w:rsid w:val="008146A1"/>
    <w:rsid w:val="00823C41"/>
    <w:rsid w:val="008341FD"/>
    <w:rsid w:val="0084281C"/>
    <w:rsid w:val="00862A08"/>
    <w:rsid w:val="00875D53"/>
    <w:rsid w:val="008835CB"/>
    <w:rsid w:val="00895165"/>
    <w:rsid w:val="008A6D34"/>
    <w:rsid w:val="008D1FED"/>
    <w:rsid w:val="008D3018"/>
    <w:rsid w:val="008D6142"/>
    <w:rsid w:val="008E66A1"/>
    <w:rsid w:val="008E7CF5"/>
    <w:rsid w:val="008F0D5C"/>
    <w:rsid w:val="008F4291"/>
    <w:rsid w:val="008F6A52"/>
    <w:rsid w:val="00905372"/>
    <w:rsid w:val="00914B93"/>
    <w:rsid w:val="0091700B"/>
    <w:rsid w:val="00924B60"/>
    <w:rsid w:val="0092689B"/>
    <w:rsid w:val="00927D32"/>
    <w:rsid w:val="00941139"/>
    <w:rsid w:val="00957055"/>
    <w:rsid w:val="00961E47"/>
    <w:rsid w:val="00970CB9"/>
    <w:rsid w:val="00971CE8"/>
    <w:rsid w:val="009748CD"/>
    <w:rsid w:val="00980141"/>
    <w:rsid w:val="0098686F"/>
    <w:rsid w:val="009A2BA3"/>
    <w:rsid w:val="009B373F"/>
    <w:rsid w:val="009B5EEF"/>
    <w:rsid w:val="009C6765"/>
    <w:rsid w:val="009D25AE"/>
    <w:rsid w:val="009D6503"/>
    <w:rsid w:val="009E0B0A"/>
    <w:rsid w:val="009E24C1"/>
    <w:rsid w:val="009E26EB"/>
    <w:rsid w:val="009E3918"/>
    <w:rsid w:val="009F069A"/>
    <w:rsid w:val="009F2A12"/>
    <w:rsid w:val="00A014FE"/>
    <w:rsid w:val="00A130B5"/>
    <w:rsid w:val="00A20427"/>
    <w:rsid w:val="00A23E14"/>
    <w:rsid w:val="00A25437"/>
    <w:rsid w:val="00A25A93"/>
    <w:rsid w:val="00A37B17"/>
    <w:rsid w:val="00A4155D"/>
    <w:rsid w:val="00A42D7F"/>
    <w:rsid w:val="00A475F5"/>
    <w:rsid w:val="00A5404E"/>
    <w:rsid w:val="00A65855"/>
    <w:rsid w:val="00A72B95"/>
    <w:rsid w:val="00A80A9D"/>
    <w:rsid w:val="00A90A62"/>
    <w:rsid w:val="00A919E3"/>
    <w:rsid w:val="00AA1189"/>
    <w:rsid w:val="00AB212A"/>
    <w:rsid w:val="00AB44AE"/>
    <w:rsid w:val="00AB70BE"/>
    <w:rsid w:val="00AC4816"/>
    <w:rsid w:val="00AF5FCC"/>
    <w:rsid w:val="00B17CCF"/>
    <w:rsid w:val="00B22018"/>
    <w:rsid w:val="00B239F7"/>
    <w:rsid w:val="00B41A4E"/>
    <w:rsid w:val="00B52B8E"/>
    <w:rsid w:val="00B54680"/>
    <w:rsid w:val="00B60731"/>
    <w:rsid w:val="00B71098"/>
    <w:rsid w:val="00B71ED0"/>
    <w:rsid w:val="00B72A9F"/>
    <w:rsid w:val="00B73FB9"/>
    <w:rsid w:val="00B74C8D"/>
    <w:rsid w:val="00B92470"/>
    <w:rsid w:val="00BA5CF9"/>
    <w:rsid w:val="00BA7C54"/>
    <w:rsid w:val="00BC36AE"/>
    <w:rsid w:val="00BC4C59"/>
    <w:rsid w:val="00BD417E"/>
    <w:rsid w:val="00BD5D5F"/>
    <w:rsid w:val="00BF6C37"/>
    <w:rsid w:val="00C0262D"/>
    <w:rsid w:val="00C0669A"/>
    <w:rsid w:val="00C224C3"/>
    <w:rsid w:val="00C35C95"/>
    <w:rsid w:val="00C5403E"/>
    <w:rsid w:val="00C55CDE"/>
    <w:rsid w:val="00C71567"/>
    <w:rsid w:val="00C754FA"/>
    <w:rsid w:val="00C81A82"/>
    <w:rsid w:val="00C871D1"/>
    <w:rsid w:val="00CB3B1D"/>
    <w:rsid w:val="00CB6B3C"/>
    <w:rsid w:val="00CC0836"/>
    <w:rsid w:val="00CD165A"/>
    <w:rsid w:val="00CD2FB2"/>
    <w:rsid w:val="00CD336F"/>
    <w:rsid w:val="00CD6695"/>
    <w:rsid w:val="00CE5011"/>
    <w:rsid w:val="00CF6F87"/>
    <w:rsid w:val="00D00681"/>
    <w:rsid w:val="00D0694B"/>
    <w:rsid w:val="00D16532"/>
    <w:rsid w:val="00D24CF5"/>
    <w:rsid w:val="00D43263"/>
    <w:rsid w:val="00D72656"/>
    <w:rsid w:val="00D91390"/>
    <w:rsid w:val="00D94FC5"/>
    <w:rsid w:val="00DA157D"/>
    <w:rsid w:val="00DA2E50"/>
    <w:rsid w:val="00DA34B4"/>
    <w:rsid w:val="00DC4440"/>
    <w:rsid w:val="00DE033C"/>
    <w:rsid w:val="00E13F5E"/>
    <w:rsid w:val="00E26139"/>
    <w:rsid w:val="00E27141"/>
    <w:rsid w:val="00E44F6E"/>
    <w:rsid w:val="00E54DDB"/>
    <w:rsid w:val="00E6427B"/>
    <w:rsid w:val="00E72E9E"/>
    <w:rsid w:val="00E75A82"/>
    <w:rsid w:val="00E7686A"/>
    <w:rsid w:val="00E929A6"/>
    <w:rsid w:val="00EA38B1"/>
    <w:rsid w:val="00EA60D2"/>
    <w:rsid w:val="00ED210A"/>
    <w:rsid w:val="00EE0CCB"/>
    <w:rsid w:val="00EF3D4E"/>
    <w:rsid w:val="00F03095"/>
    <w:rsid w:val="00F229FB"/>
    <w:rsid w:val="00F37959"/>
    <w:rsid w:val="00F53BAE"/>
    <w:rsid w:val="00F76BF3"/>
    <w:rsid w:val="00F92CAD"/>
    <w:rsid w:val="00F92D1B"/>
    <w:rsid w:val="00FA7499"/>
    <w:rsid w:val="00FB01AF"/>
    <w:rsid w:val="00FB3E97"/>
    <w:rsid w:val="00FC5429"/>
    <w:rsid w:val="00FE48A8"/>
    <w:rsid w:val="00FF1C11"/>
    <w:rsid w:val="00FF4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E96DEA"/>
  <w14:defaultImageDpi w14:val="300"/>
  <w15:docId w15:val="{CEC0ADBA-E418-45CD-9B42-FB674FA6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38B1"/>
    <w:pPr>
      <w:widowControl w:val="0"/>
      <w:autoSpaceDE w:val="0"/>
      <w:autoSpaceDN w:val="0"/>
      <w:adjustRightInd w:val="0"/>
    </w:pPr>
    <w:rPr>
      <w:color w:val="000000"/>
    </w:rPr>
  </w:style>
  <w:style w:type="paragraph" w:styleId="FootnoteText">
    <w:name w:val="footnote text"/>
    <w:basedOn w:val="Normal"/>
    <w:link w:val="FootnoteTextChar"/>
    <w:uiPriority w:val="99"/>
    <w:unhideWhenUsed/>
    <w:rsid w:val="00EA38B1"/>
  </w:style>
  <w:style w:type="character" w:customStyle="1" w:styleId="FootnoteTextChar">
    <w:name w:val="Footnote Text Char"/>
    <w:basedOn w:val="DefaultParagraphFont"/>
    <w:link w:val="FootnoteText"/>
    <w:uiPriority w:val="99"/>
    <w:rsid w:val="00EA38B1"/>
  </w:style>
  <w:style w:type="character" w:styleId="FootnoteReference">
    <w:name w:val="footnote reference"/>
    <w:basedOn w:val="DefaultParagraphFont"/>
    <w:uiPriority w:val="99"/>
    <w:unhideWhenUsed/>
    <w:rsid w:val="00EA38B1"/>
    <w:rPr>
      <w:vertAlign w:val="superscript"/>
    </w:rPr>
  </w:style>
  <w:style w:type="character" w:styleId="Hyperlink">
    <w:name w:val="Hyperlink"/>
    <w:basedOn w:val="DefaultParagraphFont"/>
    <w:uiPriority w:val="99"/>
    <w:unhideWhenUsed/>
    <w:rsid w:val="008835CB"/>
    <w:rPr>
      <w:color w:val="0000FF" w:themeColor="hyperlink"/>
      <w:u w:val="single"/>
    </w:rPr>
  </w:style>
  <w:style w:type="paragraph" w:styleId="ListParagraph">
    <w:name w:val="List Paragraph"/>
    <w:basedOn w:val="Normal"/>
    <w:uiPriority w:val="34"/>
    <w:qFormat/>
    <w:rsid w:val="00176F0B"/>
    <w:pPr>
      <w:ind w:left="720"/>
      <w:contextualSpacing/>
    </w:pPr>
  </w:style>
  <w:style w:type="paragraph" w:styleId="Header">
    <w:name w:val="header"/>
    <w:basedOn w:val="Normal"/>
    <w:link w:val="HeaderChar"/>
    <w:uiPriority w:val="99"/>
    <w:unhideWhenUsed/>
    <w:rsid w:val="007B6D4B"/>
    <w:pPr>
      <w:tabs>
        <w:tab w:val="center" w:pos="4320"/>
        <w:tab w:val="right" w:pos="8640"/>
      </w:tabs>
    </w:pPr>
  </w:style>
  <w:style w:type="character" w:customStyle="1" w:styleId="HeaderChar">
    <w:name w:val="Header Char"/>
    <w:basedOn w:val="DefaultParagraphFont"/>
    <w:link w:val="Header"/>
    <w:uiPriority w:val="99"/>
    <w:rsid w:val="007B6D4B"/>
  </w:style>
  <w:style w:type="paragraph" w:styleId="Footer">
    <w:name w:val="footer"/>
    <w:basedOn w:val="Normal"/>
    <w:link w:val="FooterChar"/>
    <w:uiPriority w:val="99"/>
    <w:unhideWhenUsed/>
    <w:rsid w:val="007B6D4B"/>
    <w:pPr>
      <w:tabs>
        <w:tab w:val="center" w:pos="4320"/>
        <w:tab w:val="right" w:pos="8640"/>
      </w:tabs>
    </w:pPr>
  </w:style>
  <w:style w:type="character" w:customStyle="1" w:styleId="FooterChar">
    <w:name w:val="Footer Char"/>
    <w:basedOn w:val="DefaultParagraphFont"/>
    <w:link w:val="Footer"/>
    <w:uiPriority w:val="99"/>
    <w:rsid w:val="007B6D4B"/>
  </w:style>
  <w:style w:type="character" w:styleId="PageNumber">
    <w:name w:val="page number"/>
    <w:basedOn w:val="DefaultParagraphFont"/>
    <w:uiPriority w:val="99"/>
    <w:semiHidden/>
    <w:unhideWhenUsed/>
    <w:rsid w:val="00DC4440"/>
  </w:style>
  <w:style w:type="paragraph" w:styleId="BalloonText">
    <w:name w:val="Balloon Text"/>
    <w:basedOn w:val="Normal"/>
    <w:link w:val="BalloonTextChar"/>
    <w:uiPriority w:val="99"/>
    <w:semiHidden/>
    <w:unhideWhenUsed/>
    <w:rsid w:val="00A130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30B5"/>
    <w:rPr>
      <w:rFonts w:ascii="Lucida Grande" w:hAnsi="Lucida Grande" w:cs="Lucida Grande"/>
      <w:sz w:val="18"/>
      <w:szCs w:val="18"/>
    </w:rPr>
  </w:style>
  <w:style w:type="character" w:styleId="FollowedHyperlink">
    <w:name w:val="FollowedHyperlink"/>
    <w:basedOn w:val="DefaultParagraphFont"/>
    <w:uiPriority w:val="99"/>
    <w:semiHidden/>
    <w:unhideWhenUsed/>
    <w:rsid w:val="009868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77643">
      <w:bodyDiv w:val="1"/>
      <w:marLeft w:val="0"/>
      <w:marRight w:val="0"/>
      <w:marTop w:val="0"/>
      <w:marBottom w:val="0"/>
      <w:divBdr>
        <w:top w:val="none" w:sz="0" w:space="0" w:color="auto"/>
        <w:left w:val="none" w:sz="0" w:space="0" w:color="auto"/>
        <w:bottom w:val="none" w:sz="0" w:space="0" w:color="auto"/>
        <w:right w:val="none" w:sz="0" w:space="0" w:color="auto"/>
      </w:divBdr>
      <w:divsChild>
        <w:div w:id="228536406">
          <w:marLeft w:val="720"/>
          <w:marRight w:val="0"/>
          <w:marTop w:val="0"/>
          <w:marBottom w:val="0"/>
          <w:divBdr>
            <w:top w:val="none" w:sz="0" w:space="0" w:color="auto"/>
            <w:left w:val="none" w:sz="0" w:space="0" w:color="auto"/>
            <w:bottom w:val="none" w:sz="0" w:space="0" w:color="auto"/>
            <w:right w:val="none" w:sz="0" w:space="0" w:color="auto"/>
          </w:divBdr>
        </w:div>
        <w:div w:id="1477456400">
          <w:marLeft w:val="720"/>
          <w:marRight w:val="0"/>
          <w:marTop w:val="0"/>
          <w:marBottom w:val="0"/>
          <w:divBdr>
            <w:top w:val="none" w:sz="0" w:space="0" w:color="auto"/>
            <w:left w:val="none" w:sz="0" w:space="0" w:color="auto"/>
            <w:bottom w:val="none" w:sz="0" w:space="0" w:color="auto"/>
            <w:right w:val="none" w:sz="0" w:space="0" w:color="auto"/>
          </w:divBdr>
        </w:div>
        <w:div w:id="914556014">
          <w:marLeft w:val="720"/>
          <w:marRight w:val="0"/>
          <w:marTop w:val="0"/>
          <w:marBottom w:val="0"/>
          <w:divBdr>
            <w:top w:val="none" w:sz="0" w:space="0" w:color="auto"/>
            <w:left w:val="none" w:sz="0" w:space="0" w:color="auto"/>
            <w:bottom w:val="none" w:sz="0" w:space="0" w:color="auto"/>
            <w:right w:val="none" w:sz="0" w:space="0" w:color="auto"/>
          </w:divBdr>
        </w:div>
        <w:div w:id="1810711478">
          <w:marLeft w:val="720"/>
          <w:marRight w:val="0"/>
          <w:marTop w:val="0"/>
          <w:marBottom w:val="0"/>
          <w:divBdr>
            <w:top w:val="none" w:sz="0" w:space="0" w:color="auto"/>
            <w:left w:val="none" w:sz="0" w:space="0" w:color="auto"/>
            <w:bottom w:val="none" w:sz="0" w:space="0" w:color="auto"/>
            <w:right w:val="none" w:sz="0" w:space="0" w:color="auto"/>
          </w:divBdr>
        </w:div>
        <w:div w:id="993071099">
          <w:marLeft w:val="720"/>
          <w:marRight w:val="0"/>
          <w:marTop w:val="0"/>
          <w:marBottom w:val="0"/>
          <w:divBdr>
            <w:top w:val="none" w:sz="0" w:space="0" w:color="auto"/>
            <w:left w:val="none" w:sz="0" w:space="0" w:color="auto"/>
            <w:bottom w:val="none" w:sz="0" w:space="0" w:color="auto"/>
            <w:right w:val="none" w:sz="0" w:space="0" w:color="auto"/>
          </w:divBdr>
        </w:div>
      </w:divsChild>
    </w:div>
    <w:div w:id="445201860">
      <w:bodyDiv w:val="1"/>
      <w:marLeft w:val="0"/>
      <w:marRight w:val="0"/>
      <w:marTop w:val="0"/>
      <w:marBottom w:val="0"/>
      <w:divBdr>
        <w:top w:val="none" w:sz="0" w:space="0" w:color="auto"/>
        <w:left w:val="none" w:sz="0" w:space="0" w:color="auto"/>
        <w:bottom w:val="none" w:sz="0" w:space="0" w:color="auto"/>
        <w:right w:val="none" w:sz="0" w:space="0" w:color="auto"/>
      </w:divBdr>
      <w:divsChild>
        <w:div w:id="1782648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36211">
              <w:marLeft w:val="0"/>
              <w:marRight w:val="0"/>
              <w:marTop w:val="0"/>
              <w:marBottom w:val="0"/>
              <w:divBdr>
                <w:top w:val="none" w:sz="0" w:space="0" w:color="auto"/>
                <w:left w:val="none" w:sz="0" w:space="0" w:color="auto"/>
                <w:bottom w:val="none" w:sz="0" w:space="0" w:color="auto"/>
                <w:right w:val="none" w:sz="0" w:space="0" w:color="auto"/>
              </w:divBdr>
              <w:divsChild>
                <w:div w:id="1276016148">
                  <w:marLeft w:val="0"/>
                  <w:marRight w:val="0"/>
                  <w:marTop w:val="0"/>
                  <w:marBottom w:val="0"/>
                  <w:divBdr>
                    <w:top w:val="none" w:sz="0" w:space="0" w:color="auto"/>
                    <w:left w:val="none" w:sz="0" w:space="0" w:color="auto"/>
                    <w:bottom w:val="none" w:sz="0" w:space="0" w:color="auto"/>
                    <w:right w:val="none" w:sz="0" w:space="0" w:color="auto"/>
                  </w:divBdr>
                  <w:divsChild>
                    <w:div w:id="1151866597">
                      <w:marLeft w:val="0"/>
                      <w:marRight w:val="0"/>
                      <w:marTop w:val="0"/>
                      <w:marBottom w:val="0"/>
                      <w:divBdr>
                        <w:top w:val="none" w:sz="0" w:space="0" w:color="auto"/>
                        <w:left w:val="none" w:sz="0" w:space="0" w:color="auto"/>
                        <w:bottom w:val="none" w:sz="0" w:space="0" w:color="auto"/>
                        <w:right w:val="none" w:sz="0" w:space="0" w:color="auto"/>
                      </w:divBdr>
                      <w:divsChild>
                        <w:div w:id="574412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5609146">
                              <w:marLeft w:val="0"/>
                              <w:marRight w:val="0"/>
                              <w:marTop w:val="0"/>
                              <w:marBottom w:val="0"/>
                              <w:divBdr>
                                <w:top w:val="none" w:sz="0" w:space="0" w:color="auto"/>
                                <w:left w:val="none" w:sz="0" w:space="0" w:color="auto"/>
                                <w:bottom w:val="none" w:sz="0" w:space="0" w:color="auto"/>
                                <w:right w:val="none" w:sz="0" w:space="0" w:color="auto"/>
                              </w:divBdr>
                              <w:divsChild>
                                <w:div w:id="1223757907">
                                  <w:marLeft w:val="0"/>
                                  <w:marRight w:val="0"/>
                                  <w:marTop w:val="0"/>
                                  <w:marBottom w:val="0"/>
                                  <w:divBdr>
                                    <w:top w:val="none" w:sz="0" w:space="0" w:color="auto"/>
                                    <w:left w:val="none" w:sz="0" w:space="0" w:color="auto"/>
                                    <w:bottom w:val="none" w:sz="0" w:space="0" w:color="auto"/>
                                    <w:right w:val="none" w:sz="0" w:space="0" w:color="auto"/>
                                  </w:divBdr>
                                  <w:divsChild>
                                    <w:div w:id="519203889">
                                      <w:marLeft w:val="0"/>
                                      <w:marRight w:val="0"/>
                                      <w:marTop w:val="0"/>
                                      <w:marBottom w:val="0"/>
                                      <w:divBdr>
                                        <w:top w:val="none" w:sz="0" w:space="0" w:color="auto"/>
                                        <w:left w:val="none" w:sz="0" w:space="0" w:color="auto"/>
                                        <w:bottom w:val="none" w:sz="0" w:space="0" w:color="auto"/>
                                        <w:right w:val="none" w:sz="0" w:space="0" w:color="auto"/>
                                      </w:divBdr>
                                      <w:divsChild>
                                        <w:div w:id="300624679">
                                          <w:marLeft w:val="0"/>
                                          <w:marRight w:val="0"/>
                                          <w:marTop w:val="0"/>
                                          <w:marBottom w:val="0"/>
                                          <w:divBdr>
                                            <w:top w:val="none" w:sz="0" w:space="0" w:color="auto"/>
                                            <w:left w:val="none" w:sz="0" w:space="0" w:color="auto"/>
                                            <w:bottom w:val="none" w:sz="0" w:space="0" w:color="auto"/>
                                            <w:right w:val="none" w:sz="0" w:space="0" w:color="auto"/>
                                          </w:divBdr>
                                          <w:divsChild>
                                            <w:div w:id="1186097106">
                                              <w:marLeft w:val="0"/>
                                              <w:marRight w:val="0"/>
                                              <w:marTop w:val="0"/>
                                              <w:marBottom w:val="0"/>
                                              <w:divBdr>
                                                <w:top w:val="none" w:sz="0" w:space="0" w:color="auto"/>
                                                <w:left w:val="none" w:sz="0" w:space="0" w:color="auto"/>
                                                <w:bottom w:val="none" w:sz="0" w:space="0" w:color="auto"/>
                                                <w:right w:val="none" w:sz="0" w:space="0" w:color="auto"/>
                                              </w:divBdr>
                                              <w:divsChild>
                                                <w:div w:id="10020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260230">
      <w:bodyDiv w:val="1"/>
      <w:marLeft w:val="0"/>
      <w:marRight w:val="0"/>
      <w:marTop w:val="0"/>
      <w:marBottom w:val="0"/>
      <w:divBdr>
        <w:top w:val="none" w:sz="0" w:space="0" w:color="auto"/>
        <w:left w:val="none" w:sz="0" w:space="0" w:color="auto"/>
        <w:bottom w:val="none" w:sz="0" w:space="0" w:color="auto"/>
        <w:right w:val="none" w:sz="0" w:space="0" w:color="auto"/>
      </w:divBdr>
      <w:divsChild>
        <w:div w:id="146665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610793">
              <w:marLeft w:val="0"/>
              <w:marRight w:val="0"/>
              <w:marTop w:val="0"/>
              <w:marBottom w:val="0"/>
              <w:divBdr>
                <w:top w:val="none" w:sz="0" w:space="0" w:color="auto"/>
                <w:left w:val="none" w:sz="0" w:space="0" w:color="auto"/>
                <w:bottom w:val="none" w:sz="0" w:space="0" w:color="auto"/>
                <w:right w:val="none" w:sz="0" w:space="0" w:color="auto"/>
              </w:divBdr>
              <w:divsChild>
                <w:div w:id="1510833131">
                  <w:marLeft w:val="0"/>
                  <w:marRight w:val="0"/>
                  <w:marTop w:val="0"/>
                  <w:marBottom w:val="0"/>
                  <w:divBdr>
                    <w:top w:val="none" w:sz="0" w:space="0" w:color="auto"/>
                    <w:left w:val="none" w:sz="0" w:space="0" w:color="auto"/>
                    <w:bottom w:val="none" w:sz="0" w:space="0" w:color="auto"/>
                    <w:right w:val="none" w:sz="0" w:space="0" w:color="auto"/>
                  </w:divBdr>
                  <w:divsChild>
                    <w:div w:id="471212420">
                      <w:marLeft w:val="0"/>
                      <w:marRight w:val="0"/>
                      <w:marTop w:val="0"/>
                      <w:marBottom w:val="0"/>
                      <w:divBdr>
                        <w:top w:val="none" w:sz="0" w:space="0" w:color="auto"/>
                        <w:left w:val="none" w:sz="0" w:space="0" w:color="auto"/>
                        <w:bottom w:val="none" w:sz="0" w:space="0" w:color="auto"/>
                        <w:right w:val="none" w:sz="0" w:space="0" w:color="auto"/>
                      </w:divBdr>
                      <w:divsChild>
                        <w:div w:id="6291696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51966874">
                              <w:marLeft w:val="0"/>
                              <w:marRight w:val="0"/>
                              <w:marTop w:val="0"/>
                              <w:marBottom w:val="0"/>
                              <w:divBdr>
                                <w:top w:val="none" w:sz="0" w:space="0" w:color="auto"/>
                                <w:left w:val="none" w:sz="0" w:space="0" w:color="auto"/>
                                <w:bottom w:val="none" w:sz="0" w:space="0" w:color="auto"/>
                                <w:right w:val="none" w:sz="0" w:space="0" w:color="auto"/>
                              </w:divBdr>
                              <w:divsChild>
                                <w:div w:id="16379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396868">
      <w:bodyDiv w:val="1"/>
      <w:marLeft w:val="0"/>
      <w:marRight w:val="0"/>
      <w:marTop w:val="0"/>
      <w:marBottom w:val="0"/>
      <w:divBdr>
        <w:top w:val="none" w:sz="0" w:space="0" w:color="auto"/>
        <w:left w:val="none" w:sz="0" w:space="0" w:color="auto"/>
        <w:bottom w:val="none" w:sz="0" w:space="0" w:color="auto"/>
        <w:right w:val="none" w:sz="0" w:space="0" w:color="auto"/>
      </w:divBdr>
    </w:div>
    <w:div w:id="611328586">
      <w:bodyDiv w:val="1"/>
      <w:marLeft w:val="0"/>
      <w:marRight w:val="0"/>
      <w:marTop w:val="0"/>
      <w:marBottom w:val="0"/>
      <w:divBdr>
        <w:top w:val="none" w:sz="0" w:space="0" w:color="auto"/>
        <w:left w:val="none" w:sz="0" w:space="0" w:color="auto"/>
        <w:bottom w:val="none" w:sz="0" w:space="0" w:color="auto"/>
        <w:right w:val="none" w:sz="0" w:space="0" w:color="auto"/>
      </w:divBdr>
    </w:div>
    <w:div w:id="677773827">
      <w:bodyDiv w:val="1"/>
      <w:marLeft w:val="0"/>
      <w:marRight w:val="0"/>
      <w:marTop w:val="0"/>
      <w:marBottom w:val="0"/>
      <w:divBdr>
        <w:top w:val="none" w:sz="0" w:space="0" w:color="auto"/>
        <w:left w:val="none" w:sz="0" w:space="0" w:color="auto"/>
        <w:bottom w:val="none" w:sz="0" w:space="0" w:color="auto"/>
        <w:right w:val="none" w:sz="0" w:space="0" w:color="auto"/>
      </w:divBdr>
      <w:divsChild>
        <w:div w:id="12570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68283">
              <w:marLeft w:val="0"/>
              <w:marRight w:val="0"/>
              <w:marTop w:val="0"/>
              <w:marBottom w:val="0"/>
              <w:divBdr>
                <w:top w:val="none" w:sz="0" w:space="0" w:color="auto"/>
                <w:left w:val="none" w:sz="0" w:space="0" w:color="auto"/>
                <w:bottom w:val="none" w:sz="0" w:space="0" w:color="auto"/>
                <w:right w:val="none" w:sz="0" w:space="0" w:color="auto"/>
              </w:divBdr>
              <w:divsChild>
                <w:div w:id="1949580569">
                  <w:marLeft w:val="0"/>
                  <w:marRight w:val="0"/>
                  <w:marTop w:val="0"/>
                  <w:marBottom w:val="0"/>
                  <w:divBdr>
                    <w:top w:val="none" w:sz="0" w:space="0" w:color="auto"/>
                    <w:left w:val="none" w:sz="0" w:space="0" w:color="auto"/>
                    <w:bottom w:val="none" w:sz="0" w:space="0" w:color="auto"/>
                    <w:right w:val="none" w:sz="0" w:space="0" w:color="auto"/>
                  </w:divBdr>
                  <w:divsChild>
                    <w:div w:id="1552154857">
                      <w:marLeft w:val="0"/>
                      <w:marRight w:val="0"/>
                      <w:marTop w:val="0"/>
                      <w:marBottom w:val="0"/>
                      <w:divBdr>
                        <w:top w:val="none" w:sz="0" w:space="0" w:color="auto"/>
                        <w:left w:val="none" w:sz="0" w:space="0" w:color="auto"/>
                        <w:bottom w:val="none" w:sz="0" w:space="0" w:color="auto"/>
                        <w:right w:val="none" w:sz="0" w:space="0" w:color="auto"/>
                      </w:divBdr>
                      <w:divsChild>
                        <w:div w:id="13353809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46866367">
                              <w:marLeft w:val="0"/>
                              <w:marRight w:val="0"/>
                              <w:marTop w:val="0"/>
                              <w:marBottom w:val="0"/>
                              <w:divBdr>
                                <w:top w:val="none" w:sz="0" w:space="0" w:color="auto"/>
                                <w:left w:val="none" w:sz="0" w:space="0" w:color="auto"/>
                                <w:bottom w:val="none" w:sz="0" w:space="0" w:color="auto"/>
                                <w:right w:val="none" w:sz="0" w:space="0" w:color="auto"/>
                              </w:divBdr>
                              <w:divsChild>
                                <w:div w:id="102717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607613">
      <w:bodyDiv w:val="1"/>
      <w:marLeft w:val="0"/>
      <w:marRight w:val="0"/>
      <w:marTop w:val="0"/>
      <w:marBottom w:val="0"/>
      <w:divBdr>
        <w:top w:val="none" w:sz="0" w:space="0" w:color="auto"/>
        <w:left w:val="none" w:sz="0" w:space="0" w:color="auto"/>
        <w:bottom w:val="none" w:sz="0" w:space="0" w:color="auto"/>
        <w:right w:val="none" w:sz="0" w:space="0" w:color="auto"/>
      </w:divBdr>
      <w:divsChild>
        <w:div w:id="1899510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764151">
              <w:marLeft w:val="0"/>
              <w:marRight w:val="0"/>
              <w:marTop w:val="0"/>
              <w:marBottom w:val="0"/>
              <w:divBdr>
                <w:top w:val="none" w:sz="0" w:space="0" w:color="auto"/>
                <w:left w:val="none" w:sz="0" w:space="0" w:color="auto"/>
                <w:bottom w:val="none" w:sz="0" w:space="0" w:color="auto"/>
                <w:right w:val="none" w:sz="0" w:space="0" w:color="auto"/>
              </w:divBdr>
              <w:divsChild>
                <w:div w:id="641152428">
                  <w:marLeft w:val="0"/>
                  <w:marRight w:val="0"/>
                  <w:marTop w:val="0"/>
                  <w:marBottom w:val="0"/>
                  <w:divBdr>
                    <w:top w:val="none" w:sz="0" w:space="0" w:color="auto"/>
                    <w:left w:val="none" w:sz="0" w:space="0" w:color="auto"/>
                    <w:bottom w:val="none" w:sz="0" w:space="0" w:color="auto"/>
                    <w:right w:val="none" w:sz="0" w:space="0" w:color="auto"/>
                  </w:divBdr>
                  <w:divsChild>
                    <w:div w:id="1116681674">
                      <w:marLeft w:val="0"/>
                      <w:marRight w:val="0"/>
                      <w:marTop w:val="0"/>
                      <w:marBottom w:val="0"/>
                      <w:divBdr>
                        <w:top w:val="none" w:sz="0" w:space="0" w:color="auto"/>
                        <w:left w:val="none" w:sz="0" w:space="0" w:color="auto"/>
                        <w:bottom w:val="none" w:sz="0" w:space="0" w:color="auto"/>
                        <w:right w:val="none" w:sz="0" w:space="0" w:color="auto"/>
                      </w:divBdr>
                      <w:divsChild>
                        <w:div w:id="5203653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4946238">
                              <w:marLeft w:val="0"/>
                              <w:marRight w:val="0"/>
                              <w:marTop w:val="0"/>
                              <w:marBottom w:val="0"/>
                              <w:divBdr>
                                <w:top w:val="none" w:sz="0" w:space="0" w:color="auto"/>
                                <w:left w:val="none" w:sz="0" w:space="0" w:color="auto"/>
                                <w:bottom w:val="none" w:sz="0" w:space="0" w:color="auto"/>
                                <w:right w:val="none" w:sz="0" w:space="0" w:color="auto"/>
                              </w:divBdr>
                              <w:divsChild>
                                <w:div w:id="12151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475001">
      <w:bodyDiv w:val="1"/>
      <w:marLeft w:val="0"/>
      <w:marRight w:val="0"/>
      <w:marTop w:val="0"/>
      <w:marBottom w:val="0"/>
      <w:divBdr>
        <w:top w:val="none" w:sz="0" w:space="0" w:color="auto"/>
        <w:left w:val="none" w:sz="0" w:space="0" w:color="auto"/>
        <w:bottom w:val="none" w:sz="0" w:space="0" w:color="auto"/>
        <w:right w:val="none" w:sz="0" w:space="0" w:color="auto"/>
      </w:divBdr>
      <w:divsChild>
        <w:div w:id="1553149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669079">
              <w:marLeft w:val="0"/>
              <w:marRight w:val="0"/>
              <w:marTop w:val="0"/>
              <w:marBottom w:val="0"/>
              <w:divBdr>
                <w:top w:val="none" w:sz="0" w:space="0" w:color="auto"/>
                <w:left w:val="none" w:sz="0" w:space="0" w:color="auto"/>
                <w:bottom w:val="none" w:sz="0" w:space="0" w:color="auto"/>
                <w:right w:val="none" w:sz="0" w:space="0" w:color="auto"/>
              </w:divBdr>
              <w:divsChild>
                <w:div w:id="173424775">
                  <w:marLeft w:val="0"/>
                  <w:marRight w:val="0"/>
                  <w:marTop w:val="0"/>
                  <w:marBottom w:val="0"/>
                  <w:divBdr>
                    <w:top w:val="none" w:sz="0" w:space="0" w:color="auto"/>
                    <w:left w:val="none" w:sz="0" w:space="0" w:color="auto"/>
                    <w:bottom w:val="none" w:sz="0" w:space="0" w:color="auto"/>
                    <w:right w:val="none" w:sz="0" w:space="0" w:color="auto"/>
                  </w:divBdr>
                  <w:divsChild>
                    <w:div w:id="1999964117">
                      <w:marLeft w:val="0"/>
                      <w:marRight w:val="0"/>
                      <w:marTop w:val="0"/>
                      <w:marBottom w:val="0"/>
                      <w:divBdr>
                        <w:top w:val="none" w:sz="0" w:space="0" w:color="auto"/>
                        <w:left w:val="none" w:sz="0" w:space="0" w:color="auto"/>
                        <w:bottom w:val="none" w:sz="0" w:space="0" w:color="auto"/>
                        <w:right w:val="none" w:sz="0" w:space="0" w:color="auto"/>
                      </w:divBdr>
                      <w:divsChild>
                        <w:div w:id="15832958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0351209">
                              <w:marLeft w:val="0"/>
                              <w:marRight w:val="0"/>
                              <w:marTop w:val="0"/>
                              <w:marBottom w:val="0"/>
                              <w:divBdr>
                                <w:top w:val="none" w:sz="0" w:space="0" w:color="auto"/>
                                <w:left w:val="none" w:sz="0" w:space="0" w:color="auto"/>
                                <w:bottom w:val="none" w:sz="0" w:space="0" w:color="auto"/>
                                <w:right w:val="none" w:sz="0" w:space="0" w:color="auto"/>
                              </w:divBdr>
                              <w:divsChild>
                                <w:div w:id="4125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539539">
      <w:bodyDiv w:val="1"/>
      <w:marLeft w:val="0"/>
      <w:marRight w:val="0"/>
      <w:marTop w:val="0"/>
      <w:marBottom w:val="0"/>
      <w:divBdr>
        <w:top w:val="none" w:sz="0" w:space="0" w:color="auto"/>
        <w:left w:val="none" w:sz="0" w:space="0" w:color="auto"/>
        <w:bottom w:val="none" w:sz="0" w:space="0" w:color="auto"/>
        <w:right w:val="none" w:sz="0" w:space="0" w:color="auto"/>
      </w:divBdr>
    </w:div>
    <w:div w:id="800733832">
      <w:bodyDiv w:val="1"/>
      <w:marLeft w:val="0"/>
      <w:marRight w:val="0"/>
      <w:marTop w:val="0"/>
      <w:marBottom w:val="0"/>
      <w:divBdr>
        <w:top w:val="none" w:sz="0" w:space="0" w:color="auto"/>
        <w:left w:val="none" w:sz="0" w:space="0" w:color="auto"/>
        <w:bottom w:val="none" w:sz="0" w:space="0" w:color="auto"/>
        <w:right w:val="none" w:sz="0" w:space="0" w:color="auto"/>
      </w:divBdr>
      <w:divsChild>
        <w:div w:id="606696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596208">
              <w:marLeft w:val="0"/>
              <w:marRight w:val="0"/>
              <w:marTop w:val="0"/>
              <w:marBottom w:val="0"/>
              <w:divBdr>
                <w:top w:val="none" w:sz="0" w:space="0" w:color="auto"/>
                <w:left w:val="none" w:sz="0" w:space="0" w:color="auto"/>
                <w:bottom w:val="none" w:sz="0" w:space="0" w:color="auto"/>
                <w:right w:val="none" w:sz="0" w:space="0" w:color="auto"/>
              </w:divBdr>
              <w:divsChild>
                <w:div w:id="1073086879">
                  <w:marLeft w:val="0"/>
                  <w:marRight w:val="0"/>
                  <w:marTop w:val="0"/>
                  <w:marBottom w:val="0"/>
                  <w:divBdr>
                    <w:top w:val="none" w:sz="0" w:space="0" w:color="auto"/>
                    <w:left w:val="none" w:sz="0" w:space="0" w:color="auto"/>
                    <w:bottom w:val="none" w:sz="0" w:space="0" w:color="auto"/>
                    <w:right w:val="none" w:sz="0" w:space="0" w:color="auto"/>
                  </w:divBdr>
                  <w:divsChild>
                    <w:div w:id="146018397">
                      <w:marLeft w:val="0"/>
                      <w:marRight w:val="0"/>
                      <w:marTop w:val="0"/>
                      <w:marBottom w:val="0"/>
                      <w:divBdr>
                        <w:top w:val="none" w:sz="0" w:space="0" w:color="auto"/>
                        <w:left w:val="none" w:sz="0" w:space="0" w:color="auto"/>
                        <w:bottom w:val="none" w:sz="0" w:space="0" w:color="auto"/>
                        <w:right w:val="none" w:sz="0" w:space="0" w:color="auto"/>
                      </w:divBdr>
                      <w:divsChild>
                        <w:div w:id="17767495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0272208">
                              <w:marLeft w:val="0"/>
                              <w:marRight w:val="0"/>
                              <w:marTop w:val="0"/>
                              <w:marBottom w:val="0"/>
                              <w:divBdr>
                                <w:top w:val="none" w:sz="0" w:space="0" w:color="auto"/>
                                <w:left w:val="none" w:sz="0" w:space="0" w:color="auto"/>
                                <w:bottom w:val="none" w:sz="0" w:space="0" w:color="auto"/>
                                <w:right w:val="none" w:sz="0" w:space="0" w:color="auto"/>
                              </w:divBdr>
                              <w:divsChild>
                                <w:div w:id="1375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070834">
      <w:bodyDiv w:val="1"/>
      <w:marLeft w:val="0"/>
      <w:marRight w:val="0"/>
      <w:marTop w:val="0"/>
      <w:marBottom w:val="0"/>
      <w:divBdr>
        <w:top w:val="none" w:sz="0" w:space="0" w:color="auto"/>
        <w:left w:val="none" w:sz="0" w:space="0" w:color="auto"/>
        <w:bottom w:val="none" w:sz="0" w:space="0" w:color="auto"/>
        <w:right w:val="none" w:sz="0" w:space="0" w:color="auto"/>
      </w:divBdr>
      <w:divsChild>
        <w:div w:id="315307319">
          <w:marLeft w:val="0"/>
          <w:marRight w:val="0"/>
          <w:marTop w:val="0"/>
          <w:marBottom w:val="0"/>
          <w:divBdr>
            <w:top w:val="none" w:sz="0" w:space="0" w:color="auto"/>
            <w:left w:val="none" w:sz="0" w:space="0" w:color="auto"/>
            <w:bottom w:val="none" w:sz="0" w:space="0" w:color="auto"/>
            <w:right w:val="none" w:sz="0" w:space="0" w:color="auto"/>
          </w:divBdr>
        </w:div>
        <w:div w:id="551381913">
          <w:marLeft w:val="0"/>
          <w:marRight w:val="0"/>
          <w:marTop w:val="0"/>
          <w:marBottom w:val="0"/>
          <w:divBdr>
            <w:top w:val="none" w:sz="0" w:space="0" w:color="auto"/>
            <w:left w:val="none" w:sz="0" w:space="0" w:color="auto"/>
            <w:bottom w:val="none" w:sz="0" w:space="0" w:color="auto"/>
            <w:right w:val="none" w:sz="0" w:space="0" w:color="auto"/>
          </w:divBdr>
        </w:div>
        <w:div w:id="90203845">
          <w:marLeft w:val="0"/>
          <w:marRight w:val="0"/>
          <w:marTop w:val="0"/>
          <w:marBottom w:val="0"/>
          <w:divBdr>
            <w:top w:val="none" w:sz="0" w:space="0" w:color="auto"/>
            <w:left w:val="none" w:sz="0" w:space="0" w:color="auto"/>
            <w:bottom w:val="none" w:sz="0" w:space="0" w:color="auto"/>
            <w:right w:val="none" w:sz="0" w:space="0" w:color="auto"/>
          </w:divBdr>
        </w:div>
        <w:div w:id="982924933">
          <w:marLeft w:val="0"/>
          <w:marRight w:val="0"/>
          <w:marTop w:val="0"/>
          <w:marBottom w:val="0"/>
          <w:divBdr>
            <w:top w:val="none" w:sz="0" w:space="0" w:color="auto"/>
            <w:left w:val="none" w:sz="0" w:space="0" w:color="auto"/>
            <w:bottom w:val="none" w:sz="0" w:space="0" w:color="auto"/>
            <w:right w:val="none" w:sz="0" w:space="0" w:color="auto"/>
          </w:divBdr>
        </w:div>
        <w:div w:id="99838162">
          <w:marLeft w:val="0"/>
          <w:marRight w:val="0"/>
          <w:marTop w:val="0"/>
          <w:marBottom w:val="0"/>
          <w:divBdr>
            <w:top w:val="none" w:sz="0" w:space="0" w:color="auto"/>
            <w:left w:val="none" w:sz="0" w:space="0" w:color="auto"/>
            <w:bottom w:val="none" w:sz="0" w:space="0" w:color="auto"/>
            <w:right w:val="none" w:sz="0" w:space="0" w:color="auto"/>
          </w:divBdr>
        </w:div>
        <w:div w:id="1873805624">
          <w:marLeft w:val="0"/>
          <w:marRight w:val="0"/>
          <w:marTop w:val="0"/>
          <w:marBottom w:val="0"/>
          <w:divBdr>
            <w:top w:val="none" w:sz="0" w:space="0" w:color="auto"/>
            <w:left w:val="none" w:sz="0" w:space="0" w:color="auto"/>
            <w:bottom w:val="none" w:sz="0" w:space="0" w:color="auto"/>
            <w:right w:val="none" w:sz="0" w:space="0" w:color="auto"/>
          </w:divBdr>
        </w:div>
      </w:divsChild>
    </w:div>
    <w:div w:id="1421294151">
      <w:bodyDiv w:val="1"/>
      <w:marLeft w:val="0"/>
      <w:marRight w:val="0"/>
      <w:marTop w:val="0"/>
      <w:marBottom w:val="0"/>
      <w:divBdr>
        <w:top w:val="none" w:sz="0" w:space="0" w:color="auto"/>
        <w:left w:val="none" w:sz="0" w:space="0" w:color="auto"/>
        <w:bottom w:val="none" w:sz="0" w:space="0" w:color="auto"/>
        <w:right w:val="none" w:sz="0" w:space="0" w:color="auto"/>
      </w:divBdr>
      <w:divsChild>
        <w:div w:id="1578318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037989">
              <w:marLeft w:val="0"/>
              <w:marRight w:val="0"/>
              <w:marTop w:val="0"/>
              <w:marBottom w:val="0"/>
              <w:divBdr>
                <w:top w:val="none" w:sz="0" w:space="0" w:color="auto"/>
                <w:left w:val="none" w:sz="0" w:space="0" w:color="auto"/>
                <w:bottom w:val="none" w:sz="0" w:space="0" w:color="auto"/>
                <w:right w:val="none" w:sz="0" w:space="0" w:color="auto"/>
              </w:divBdr>
              <w:divsChild>
                <w:div w:id="1708523912">
                  <w:marLeft w:val="0"/>
                  <w:marRight w:val="0"/>
                  <w:marTop w:val="0"/>
                  <w:marBottom w:val="0"/>
                  <w:divBdr>
                    <w:top w:val="none" w:sz="0" w:space="0" w:color="auto"/>
                    <w:left w:val="none" w:sz="0" w:space="0" w:color="auto"/>
                    <w:bottom w:val="none" w:sz="0" w:space="0" w:color="auto"/>
                    <w:right w:val="none" w:sz="0" w:space="0" w:color="auto"/>
                  </w:divBdr>
                  <w:divsChild>
                    <w:div w:id="1034116345">
                      <w:marLeft w:val="0"/>
                      <w:marRight w:val="0"/>
                      <w:marTop w:val="0"/>
                      <w:marBottom w:val="0"/>
                      <w:divBdr>
                        <w:top w:val="none" w:sz="0" w:space="0" w:color="auto"/>
                        <w:left w:val="none" w:sz="0" w:space="0" w:color="auto"/>
                        <w:bottom w:val="none" w:sz="0" w:space="0" w:color="auto"/>
                        <w:right w:val="none" w:sz="0" w:space="0" w:color="auto"/>
                      </w:divBdr>
                      <w:divsChild>
                        <w:div w:id="7430719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61067672">
                              <w:marLeft w:val="0"/>
                              <w:marRight w:val="0"/>
                              <w:marTop w:val="0"/>
                              <w:marBottom w:val="0"/>
                              <w:divBdr>
                                <w:top w:val="none" w:sz="0" w:space="0" w:color="auto"/>
                                <w:left w:val="none" w:sz="0" w:space="0" w:color="auto"/>
                                <w:bottom w:val="none" w:sz="0" w:space="0" w:color="auto"/>
                                <w:right w:val="none" w:sz="0" w:space="0" w:color="auto"/>
                              </w:divBdr>
                              <w:divsChild>
                                <w:div w:id="5280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543277">
      <w:bodyDiv w:val="1"/>
      <w:marLeft w:val="0"/>
      <w:marRight w:val="0"/>
      <w:marTop w:val="0"/>
      <w:marBottom w:val="0"/>
      <w:divBdr>
        <w:top w:val="none" w:sz="0" w:space="0" w:color="auto"/>
        <w:left w:val="none" w:sz="0" w:space="0" w:color="auto"/>
        <w:bottom w:val="none" w:sz="0" w:space="0" w:color="auto"/>
        <w:right w:val="none" w:sz="0" w:space="0" w:color="auto"/>
      </w:divBdr>
      <w:divsChild>
        <w:div w:id="2020228185">
          <w:marLeft w:val="1800"/>
          <w:marRight w:val="0"/>
          <w:marTop w:val="0"/>
          <w:marBottom w:val="0"/>
          <w:divBdr>
            <w:top w:val="none" w:sz="0" w:space="0" w:color="auto"/>
            <w:left w:val="none" w:sz="0" w:space="0" w:color="auto"/>
            <w:bottom w:val="none" w:sz="0" w:space="0" w:color="auto"/>
            <w:right w:val="none" w:sz="0" w:space="0" w:color="auto"/>
          </w:divBdr>
        </w:div>
        <w:div w:id="841627154">
          <w:marLeft w:val="1800"/>
          <w:marRight w:val="0"/>
          <w:marTop w:val="0"/>
          <w:marBottom w:val="0"/>
          <w:divBdr>
            <w:top w:val="none" w:sz="0" w:space="0" w:color="auto"/>
            <w:left w:val="none" w:sz="0" w:space="0" w:color="auto"/>
            <w:bottom w:val="none" w:sz="0" w:space="0" w:color="auto"/>
            <w:right w:val="none" w:sz="0" w:space="0" w:color="auto"/>
          </w:divBdr>
        </w:div>
      </w:divsChild>
    </w:div>
    <w:div w:id="1544174926">
      <w:bodyDiv w:val="1"/>
      <w:marLeft w:val="0"/>
      <w:marRight w:val="0"/>
      <w:marTop w:val="0"/>
      <w:marBottom w:val="0"/>
      <w:divBdr>
        <w:top w:val="none" w:sz="0" w:space="0" w:color="auto"/>
        <w:left w:val="none" w:sz="0" w:space="0" w:color="auto"/>
        <w:bottom w:val="none" w:sz="0" w:space="0" w:color="auto"/>
        <w:right w:val="none" w:sz="0" w:space="0" w:color="auto"/>
      </w:divBdr>
      <w:divsChild>
        <w:div w:id="1150707581">
          <w:marLeft w:val="720"/>
          <w:marRight w:val="0"/>
          <w:marTop w:val="0"/>
          <w:marBottom w:val="0"/>
          <w:divBdr>
            <w:top w:val="none" w:sz="0" w:space="0" w:color="auto"/>
            <w:left w:val="none" w:sz="0" w:space="0" w:color="auto"/>
            <w:bottom w:val="none" w:sz="0" w:space="0" w:color="auto"/>
            <w:right w:val="none" w:sz="0" w:space="0" w:color="auto"/>
          </w:divBdr>
        </w:div>
        <w:div w:id="1506895093">
          <w:marLeft w:val="720"/>
          <w:marRight w:val="0"/>
          <w:marTop w:val="0"/>
          <w:marBottom w:val="0"/>
          <w:divBdr>
            <w:top w:val="none" w:sz="0" w:space="0" w:color="auto"/>
            <w:left w:val="none" w:sz="0" w:space="0" w:color="auto"/>
            <w:bottom w:val="none" w:sz="0" w:space="0" w:color="auto"/>
            <w:right w:val="none" w:sz="0" w:space="0" w:color="auto"/>
          </w:divBdr>
        </w:div>
        <w:div w:id="933323520">
          <w:marLeft w:val="720"/>
          <w:marRight w:val="0"/>
          <w:marTop w:val="0"/>
          <w:marBottom w:val="0"/>
          <w:divBdr>
            <w:top w:val="none" w:sz="0" w:space="0" w:color="auto"/>
            <w:left w:val="none" w:sz="0" w:space="0" w:color="auto"/>
            <w:bottom w:val="none" w:sz="0" w:space="0" w:color="auto"/>
            <w:right w:val="none" w:sz="0" w:space="0" w:color="auto"/>
          </w:divBdr>
        </w:div>
        <w:div w:id="373385885">
          <w:marLeft w:val="720"/>
          <w:marRight w:val="0"/>
          <w:marTop w:val="0"/>
          <w:marBottom w:val="0"/>
          <w:divBdr>
            <w:top w:val="none" w:sz="0" w:space="0" w:color="auto"/>
            <w:left w:val="none" w:sz="0" w:space="0" w:color="auto"/>
            <w:bottom w:val="none" w:sz="0" w:space="0" w:color="auto"/>
            <w:right w:val="none" w:sz="0" w:space="0" w:color="auto"/>
          </w:divBdr>
        </w:div>
        <w:div w:id="633950606">
          <w:marLeft w:val="720"/>
          <w:marRight w:val="0"/>
          <w:marTop w:val="0"/>
          <w:marBottom w:val="0"/>
          <w:divBdr>
            <w:top w:val="none" w:sz="0" w:space="0" w:color="auto"/>
            <w:left w:val="none" w:sz="0" w:space="0" w:color="auto"/>
            <w:bottom w:val="none" w:sz="0" w:space="0" w:color="auto"/>
            <w:right w:val="none" w:sz="0" w:space="0" w:color="auto"/>
          </w:divBdr>
        </w:div>
      </w:divsChild>
    </w:div>
    <w:div w:id="1647706422">
      <w:bodyDiv w:val="1"/>
      <w:marLeft w:val="0"/>
      <w:marRight w:val="0"/>
      <w:marTop w:val="0"/>
      <w:marBottom w:val="0"/>
      <w:divBdr>
        <w:top w:val="none" w:sz="0" w:space="0" w:color="auto"/>
        <w:left w:val="none" w:sz="0" w:space="0" w:color="auto"/>
        <w:bottom w:val="none" w:sz="0" w:space="0" w:color="auto"/>
        <w:right w:val="none" w:sz="0" w:space="0" w:color="auto"/>
      </w:divBdr>
      <w:divsChild>
        <w:div w:id="1622691133">
          <w:marLeft w:val="0"/>
          <w:marRight w:val="0"/>
          <w:marTop w:val="0"/>
          <w:marBottom w:val="0"/>
          <w:divBdr>
            <w:top w:val="none" w:sz="0" w:space="0" w:color="auto"/>
            <w:left w:val="none" w:sz="0" w:space="0" w:color="auto"/>
            <w:bottom w:val="none" w:sz="0" w:space="0" w:color="auto"/>
            <w:right w:val="none" w:sz="0" w:space="0" w:color="auto"/>
          </w:divBdr>
        </w:div>
        <w:div w:id="689724053">
          <w:marLeft w:val="0"/>
          <w:marRight w:val="0"/>
          <w:marTop w:val="0"/>
          <w:marBottom w:val="0"/>
          <w:divBdr>
            <w:top w:val="none" w:sz="0" w:space="0" w:color="auto"/>
            <w:left w:val="none" w:sz="0" w:space="0" w:color="auto"/>
            <w:bottom w:val="none" w:sz="0" w:space="0" w:color="auto"/>
            <w:right w:val="none" w:sz="0" w:space="0" w:color="auto"/>
          </w:divBdr>
        </w:div>
        <w:div w:id="955599131">
          <w:marLeft w:val="0"/>
          <w:marRight w:val="0"/>
          <w:marTop w:val="0"/>
          <w:marBottom w:val="0"/>
          <w:divBdr>
            <w:top w:val="none" w:sz="0" w:space="0" w:color="auto"/>
            <w:left w:val="none" w:sz="0" w:space="0" w:color="auto"/>
            <w:bottom w:val="none" w:sz="0" w:space="0" w:color="auto"/>
            <w:right w:val="none" w:sz="0" w:space="0" w:color="auto"/>
          </w:divBdr>
        </w:div>
        <w:div w:id="708379781">
          <w:marLeft w:val="0"/>
          <w:marRight w:val="0"/>
          <w:marTop w:val="0"/>
          <w:marBottom w:val="0"/>
          <w:divBdr>
            <w:top w:val="none" w:sz="0" w:space="0" w:color="auto"/>
            <w:left w:val="none" w:sz="0" w:space="0" w:color="auto"/>
            <w:bottom w:val="none" w:sz="0" w:space="0" w:color="auto"/>
            <w:right w:val="none" w:sz="0" w:space="0" w:color="auto"/>
          </w:divBdr>
        </w:div>
        <w:div w:id="1547181877">
          <w:marLeft w:val="0"/>
          <w:marRight w:val="0"/>
          <w:marTop w:val="0"/>
          <w:marBottom w:val="0"/>
          <w:divBdr>
            <w:top w:val="none" w:sz="0" w:space="0" w:color="auto"/>
            <w:left w:val="none" w:sz="0" w:space="0" w:color="auto"/>
            <w:bottom w:val="none" w:sz="0" w:space="0" w:color="auto"/>
            <w:right w:val="none" w:sz="0" w:space="0" w:color="auto"/>
          </w:divBdr>
        </w:div>
        <w:div w:id="978464423">
          <w:marLeft w:val="0"/>
          <w:marRight w:val="0"/>
          <w:marTop w:val="0"/>
          <w:marBottom w:val="0"/>
          <w:divBdr>
            <w:top w:val="none" w:sz="0" w:space="0" w:color="auto"/>
            <w:left w:val="none" w:sz="0" w:space="0" w:color="auto"/>
            <w:bottom w:val="none" w:sz="0" w:space="0" w:color="auto"/>
            <w:right w:val="none" w:sz="0" w:space="0" w:color="auto"/>
          </w:divBdr>
        </w:div>
      </w:divsChild>
    </w:div>
    <w:div w:id="1868133326">
      <w:bodyDiv w:val="1"/>
      <w:marLeft w:val="0"/>
      <w:marRight w:val="0"/>
      <w:marTop w:val="0"/>
      <w:marBottom w:val="0"/>
      <w:divBdr>
        <w:top w:val="none" w:sz="0" w:space="0" w:color="auto"/>
        <w:left w:val="none" w:sz="0" w:space="0" w:color="auto"/>
        <w:bottom w:val="none" w:sz="0" w:space="0" w:color="auto"/>
        <w:right w:val="none" w:sz="0" w:space="0" w:color="auto"/>
      </w:divBdr>
    </w:div>
    <w:div w:id="1986086940">
      <w:bodyDiv w:val="1"/>
      <w:marLeft w:val="0"/>
      <w:marRight w:val="0"/>
      <w:marTop w:val="0"/>
      <w:marBottom w:val="0"/>
      <w:divBdr>
        <w:top w:val="none" w:sz="0" w:space="0" w:color="auto"/>
        <w:left w:val="none" w:sz="0" w:space="0" w:color="auto"/>
        <w:bottom w:val="none" w:sz="0" w:space="0" w:color="auto"/>
        <w:right w:val="none" w:sz="0" w:space="0" w:color="auto"/>
      </w:divBdr>
      <w:divsChild>
        <w:div w:id="1687321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181887">
              <w:marLeft w:val="0"/>
              <w:marRight w:val="0"/>
              <w:marTop w:val="0"/>
              <w:marBottom w:val="0"/>
              <w:divBdr>
                <w:top w:val="none" w:sz="0" w:space="0" w:color="auto"/>
                <w:left w:val="none" w:sz="0" w:space="0" w:color="auto"/>
                <w:bottom w:val="none" w:sz="0" w:space="0" w:color="auto"/>
                <w:right w:val="none" w:sz="0" w:space="0" w:color="auto"/>
              </w:divBdr>
              <w:divsChild>
                <w:div w:id="2118714372">
                  <w:marLeft w:val="0"/>
                  <w:marRight w:val="0"/>
                  <w:marTop w:val="0"/>
                  <w:marBottom w:val="0"/>
                  <w:divBdr>
                    <w:top w:val="none" w:sz="0" w:space="0" w:color="auto"/>
                    <w:left w:val="none" w:sz="0" w:space="0" w:color="auto"/>
                    <w:bottom w:val="none" w:sz="0" w:space="0" w:color="auto"/>
                    <w:right w:val="none" w:sz="0" w:space="0" w:color="auto"/>
                  </w:divBdr>
                  <w:divsChild>
                    <w:div w:id="1577401585">
                      <w:marLeft w:val="0"/>
                      <w:marRight w:val="0"/>
                      <w:marTop w:val="0"/>
                      <w:marBottom w:val="0"/>
                      <w:divBdr>
                        <w:top w:val="none" w:sz="0" w:space="0" w:color="auto"/>
                        <w:left w:val="none" w:sz="0" w:space="0" w:color="auto"/>
                        <w:bottom w:val="none" w:sz="0" w:space="0" w:color="auto"/>
                        <w:right w:val="none" w:sz="0" w:space="0" w:color="auto"/>
                      </w:divBdr>
                      <w:divsChild>
                        <w:div w:id="3027325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6313076">
                              <w:marLeft w:val="0"/>
                              <w:marRight w:val="0"/>
                              <w:marTop w:val="0"/>
                              <w:marBottom w:val="0"/>
                              <w:divBdr>
                                <w:top w:val="none" w:sz="0" w:space="0" w:color="auto"/>
                                <w:left w:val="none" w:sz="0" w:space="0" w:color="auto"/>
                                <w:bottom w:val="none" w:sz="0" w:space="0" w:color="auto"/>
                                <w:right w:val="none" w:sz="0" w:space="0" w:color="auto"/>
                              </w:divBdr>
                              <w:divsChild>
                                <w:div w:id="1428841762">
                                  <w:marLeft w:val="0"/>
                                  <w:marRight w:val="0"/>
                                  <w:marTop w:val="0"/>
                                  <w:marBottom w:val="0"/>
                                  <w:divBdr>
                                    <w:top w:val="none" w:sz="0" w:space="0" w:color="auto"/>
                                    <w:left w:val="none" w:sz="0" w:space="0" w:color="auto"/>
                                    <w:bottom w:val="none" w:sz="0" w:space="0" w:color="auto"/>
                                    <w:right w:val="none" w:sz="0" w:space="0" w:color="auto"/>
                                  </w:divBdr>
                                  <w:divsChild>
                                    <w:div w:id="1991903251">
                                      <w:marLeft w:val="0"/>
                                      <w:marRight w:val="0"/>
                                      <w:marTop w:val="0"/>
                                      <w:marBottom w:val="0"/>
                                      <w:divBdr>
                                        <w:top w:val="none" w:sz="0" w:space="0" w:color="auto"/>
                                        <w:left w:val="none" w:sz="0" w:space="0" w:color="auto"/>
                                        <w:bottom w:val="none" w:sz="0" w:space="0" w:color="auto"/>
                                        <w:right w:val="none" w:sz="0" w:space="0" w:color="auto"/>
                                      </w:divBdr>
                                      <w:divsChild>
                                        <w:div w:id="484710508">
                                          <w:marLeft w:val="0"/>
                                          <w:marRight w:val="0"/>
                                          <w:marTop w:val="0"/>
                                          <w:marBottom w:val="0"/>
                                          <w:divBdr>
                                            <w:top w:val="none" w:sz="0" w:space="0" w:color="auto"/>
                                            <w:left w:val="none" w:sz="0" w:space="0" w:color="auto"/>
                                            <w:bottom w:val="none" w:sz="0" w:space="0" w:color="auto"/>
                                            <w:right w:val="none" w:sz="0" w:space="0" w:color="auto"/>
                                          </w:divBdr>
                                          <w:divsChild>
                                            <w:div w:id="1773671960">
                                              <w:marLeft w:val="0"/>
                                              <w:marRight w:val="0"/>
                                              <w:marTop w:val="0"/>
                                              <w:marBottom w:val="0"/>
                                              <w:divBdr>
                                                <w:top w:val="none" w:sz="0" w:space="0" w:color="auto"/>
                                                <w:left w:val="none" w:sz="0" w:space="0" w:color="auto"/>
                                                <w:bottom w:val="none" w:sz="0" w:space="0" w:color="auto"/>
                                                <w:right w:val="none" w:sz="0" w:space="0" w:color="auto"/>
                                              </w:divBdr>
                                              <w:divsChild>
                                                <w:div w:id="350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0760600">
      <w:bodyDiv w:val="1"/>
      <w:marLeft w:val="0"/>
      <w:marRight w:val="0"/>
      <w:marTop w:val="0"/>
      <w:marBottom w:val="0"/>
      <w:divBdr>
        <w:top w:val="none" w:sz="0" w:space="0" w:color="auto"/>
        <w:left w:val="none" w:sz="0" w:space="0" w:color="auto"/>
        <w:bottom w:val="none" w:sz="0" w:space="0" w:color="auto"/>
        <w:right w:val="none" w:sz="0" w:space="0" w:color="auto"/>
      </w:divBdr>
      <w:divsChild>
        <w:div w:id="759788426">
          <w:marLeft w:val="1800"/>
          <w:marRight w:val="0"/>
          <w:marTop w:val="0"/>
          <w:marBottom w:val="0"/>
          <w:divBdr>
            <w:top w:val="none" w:sz="0" w:space="0" w:color="auto"/>
            <w:left w:val="none" w:sz="0" w:space="0" w:color="auto"/>
            <w:bottom w:val="none" w:sz="0" w:space="0" w:color="auto"/>
            <w:right w:val="none" w:sz="0" w:space="0" w:color="auto"/>
          </w:divBdr>
        </w:div>
        <w:div w:id="460268316">
          <w:marLeft w:val="180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omacleanpower.org/faq" TargetMode="External"/><Relationship Id="rId13" Type="http://schemas.openxmlformats.org/officeDocument/2006/relationships/hyperlink" Target="http://cleanpowerexchange.org/?s=faq"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cecleanenergy.org/faq" TargetMode="External"/><Relationship Id="rId12" Type="http://schemas.openxmlformats.org/officeDocument/2006/relationships/hyperlink" Target="http://www.svcleanenergy.org/app_pages/view/6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ninsulacleanenergy.com/wp-content/uploads/2015/08/PCE_faq_v1.pdf" TargetMode="External"/><Relationship Id="rId5" Type="http://schemas.openxmlformats.org/officeDocument/2006/relationships/footnotes" Target="footnotes.xml"/><Relationship Id="rId15" Type="http://schemas.openxmlformats.org/officeDocument/2006/relationships/hyperlink" Target="http://www.businessinsider.com/tesla-powerpack-southern-california-edison-battery-storage-mira-loma-2017-1" TargetMode="External"/><Relationship Id="rId10" Type="http://schemas.openxmlformats.org/officeDocument/2006/relationships/hyperlink" Target="http://sfwater.org/index.aspx?page=74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ncasterchoiceenergy.com/lce-faqs.html" TargetMode="External"/><Relationship Id="rId14" Type="http://schemas.openxmlformats.org/officeDocument/2006/relationships/hyperlink" Target="http://www.energy.ca.gov/tour/helm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pge.com/tariffs/electric.shtml" TargetMode="External"/><Relationship Id="rId3" Type="http://schemas.openxmlformats.org/officeDocument/2006/relationships/hyperlink" Target="http://www.lancasterchoiceenergy.com/" TargetMode="External"/><Relationship Id="rId7" Type="http://schemas.openxmlformats.org/officeDocument/2006/relationships/hyperlink" Target="http://www.energy.ca.gov/2015publications/CEC-300-2015-001/CEC-300-2015-001-ED8-CMF.pdf" TargetMode="External"/><Relationship Id="rId2" Type="http://schemas.openxmlformats.org/officeDocument/2006/relationships/hyperlink" Target="http://leginfo.legislature.ca.gov/faces/billNavClient.xhtml?bill_id=201120120SB790" TargetMode="External"/><Relationship Id="rId1" Type="http://schemas.openxmlformats.org/officeDocument/2006/relationships/hyperlink" Target="http://leginfo.legislature.ca.gov/faces/codes_displaySection.xhtml?lawCode=PUC&amp;sectionNum=366.2" TargetMode="External"/><Relationship Id="rId6" Type="http://schemas.openxmlformats.org/officeDocument/2006/relationships/hyperlink" Target="http://www.energy.ca.gov/sb1305/power_content_label.html" TargetMode="External"/><Relationship Id="rId5" Type="http://schemas.openxmlformats.org/officeDocument/2006/relationships/hyperlink" Target="https://www.cacities.org/Member-Engagement/Professional-Departments/City-Attorneys-Department/Publications/Open-Public-IV_-A-Guide-to-the-Ralph-M-Brown-Act-(.aspx" TargetMode="External"/><Relationship Id="rId10" Type="http://schemas.openxmlformats.org/officeDocument/2006/relationships/hyperlink" Target="https://energy.gov/sites/prod/files/2013/12/f5/Grid%20Energy%20Storage%20December%202013.pdf" TargetMode="External"/><Relationship Id="rId4" Type="http://schemas.openxmlformats.org/officeDocument/2006/relationships/hyperlink" Target="https://www.pge.com/includes/docs/pdfs/safety/dcpp/diablo-canyon-retirement-joint-proposal-application.pdf" TargetMode="External"/><Relationship Id="rId9" Type="http://schemas.openxmlformats.org/officeDocument/2006/relationships/hyperlink" Target="http://www.publicpower.org/files/PDFs/StraightAnswersBenefi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2970</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Climate Protection Campaign</Company>
  <LinksUpToDate>false</LinksUpToDate>
  <CharactersWithSpaces>19860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Woody Hastings</dc:creator>
  <cp:lastModifiedBy>Julie Allingham</cp:lastModifiedBy>
  <cp:revision>2</cp:revision>
  <cp:lastPrinted>2017-05-11T05:43:00Z</cp:lastPrinted>
  <dcterms:created xsi:type="dcterms:W3CDTF">2018-07-08T00:53:00Z</dcterms:created>
  <dcterms:modified xsi:type="dcterms:W3CDTF">2018-07-08T00:53:00Z</dcterms:modified>
</cp:coreProperties>
</file>